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DBBB" w14:textId="77777777" w:rsidR="00936F7C" w:rsidRPr="003B774B" w:rsidRDefault="00DA103E" w:rsidP="00DA103E">
      <w:pPr>
        <w:pStyle w:val="Bezproreda"/>
        <w:rPr>
          <w:b/>
          <w:bCs/>
        </w:rPr>
      </w:pPr>
      <w:bookmarkStart w:id="0" w:name="_Hlk192660505"/>
      <w:r w:rsidRPr="003B774B">
        <w:rPr>
          <w:b/>
          <w:bCs/>
        </w:rPr>
        <w:t>ELEKTROTEHNIČKA ŠKOLA</w:t>
      </w:r>
    </w:p>
    <w:p w14:paraId="7CF5792F" w14:textId="77777777" w:rsidR="00DA103E" w:rsidRPr="003B774B" w:rsidRDefault="00DA103E" w:rsidP="00DA103E">
      <w:pPr>
        <w:pStyle w:val="Bezproreda"/>
        <w:rPr>
          <w:b/>
          <w:bCs/>
        </w:rPr>
      </w:pPr>
      <w:r w:rsidRPr="003B774B">
        <w:rPr>
          <w:b/>
          <w:bCs/>
        </w:rPr>
        <w:t>ZAGREB, KONAVOSKA 2</w:t>
      </w:r>
    </w:p>
    <w:p w14:paraId="7037019F" w14:textId="77777777" w:rsidR="00DA103E" w:rsidRPr="003B774B" w:rsidRDefault="00DA103E" w:rsidP="00DA103E">
      <w:pPr>
        <w:pStyle w:val="Bezproreda"/>
        <w:rPr>
          <w:b/>
          <w:bCs/>
        </w:rPr>
      </w:pPr>
    </w:p>
    <w:p w14:paraId="09463337" w14:textId="2A62BCEB" w:rsidR="00DA103E" w:rsidRPr="003B774B" w:rsidRDefault="003972EC" w:rsidP="00DA103E">
      <w:pPr>
        <w:pStyle w:val="Bezproreda"/>
        <w:rPr>
          <w:b/>
          <w:bCs/>
        </w:rPr>
      </w:pPr>
      <w:r w:rsidRPr="003B774B">
        <w:rPr>
          <w:b/>
          <w:bCs/>
        </w:rPr>
        <w:t xml:space="preserve">Zagreb, </w:t>
      </w:r>
      <w:r w:rsidR="0032681C">
        <w:rPr>
          <w:b/>
          <w:bCs/>
        </w:rPr>
        <w:t>12.03.2025.</w:t>
      </w:r>
    </w:p>
    <w:p w14:paraId="65278198" w14:textId="77777777" w:rsidR="00985AE2" w:rsidRPr="003B774B" w:rsidRDefault="00985AE2" w:rsidP="00DA103E">
      <w:pPr>
        <w:pStyle w:val="Bezproreda"/>
        <w:rPr>
          <w:b/>
          <w:bCs/>
        </w:rPr>
      </w:pPr>
    </w:p>
    <w:p w14:paraId="37A3A266" w14:textId="77777777" w:rsidR="00DA103E" w:rsidRDefault="00DA103E" w:rsidP="00DA103E">
      <w:pPr>
        <w:pStyle w:val="Bezproreda"/>
      </w:pPr>
    </w:p>
    <w:p w14:paraId="1B99F867" w14:textId="147919FF" w:rsidR="00DA103E" w:rsidRDefault="00C31046" w:rsidP="00AE60D1">
      <w:pPr>
        <w:pStyle w:val="Bezproreda"/>
        <w:jc w:val="center"/>
      </w:pPr>
      <w:r w:rsidRPr="003B774B">
        <w:rPr>
          <w:b/>
          <w:bCs/>
        </w:rPr>
        <w:t xml:space="preserve">OBRAZLOŽENJE </w:t>
      </w:r>
      <w:r w:rsidR="00AE60D1" w:rsidRPr="003B774B">
        <w:rPr>
          <w:b/>
          <w:bCs/>
        </w:rPr>
        <w:t>GODIŠNJEG IZVJEŠTAJA O IZVRŠENJU FINANCIJSKOG PLANA za 202</w:t>
      </w:r>
      <w:r w:rsidR="00655D3F" w:rsidRPr="003B774B">
        <w:rPr>
          <w:b/>
          <w:bCs/>
        </w:rPr>
        <w:t>4</w:t>
      </w:r>
      <w:r w:rsidR="00AE60D1" w:rsidRPr="003B774B">
        <w:rPr>
          <w:b/>
          <w:bCs/>
        </w:rPr>
        <w:t>.g</w:t>
      </w:r>
      <w:r w:rsidR="00AE60D1">
        <w:t>.</w:t>
      </w:r>
    </w:p>
    <w:p w14:paraId="7CDB369F" w14:textId="77777777" w:rsidR="00DA103E" w:rsidRDefault="00DA103E" w:rsidP="00DA103E">
      <w:pPr>
        <w:pStyle w:val="Bezproreda"/>
      </w:pPr>
    </w:p>
    <w:p w14:paraId="00CB5C3D" w14:textId="77777777" w:rsidR="00985AE2" w:rsidRDefault="00985AE2" w:rsidP="00DA103E">
      <w:pPr>
        <w:pStyle w:val="Bezproreda"/>
      </w:pPr>
    </w:p>
    <w:p w14:paraId="149E47FC" w14:textId="77777777" w:rsidR="00422F03" w:rsidRPr="003B774B" w:rsidRDefault="00422F03" w:rsidP="00422F03">
      <w:pPr>
        <w:pStyle w:val="Bezproreda"/>
        <w:numPr>
          <w:ilvl w:val="0"/>
          <w:numId w:val="6"/>
        </w:numPr>
        <w:rPr>
          <w:b/>
          <w:bCs/>
        </w:rPr>
      </w:pPr>
      <w:r w:rsidRPr="003B774B">
        <w:rPr>
          <w:b/>
          <w:bCs/>
        </w:rPr>
        <w:t xml:space="preserve">OBRAZLOŽENJE OPĆEG DIJELA IZVJEŠTAJA O IZVRŠENJU FINANCIJSKOG PLANA </w:t>
      </w:r>
    </w:p>
    <w:p w14:paraId="173C4E64" w14:textId="77777777" w:rsidR="00422F03" w:rsidRDefault="00422F03" w:rsidP="00DA103E">
      <w:pPr>
        <w:pStyle w:val="Bezproreda"/>
      </w:pPr>
    </w:p>
    <w:p w14:paraId="7F980803" w14:textId="77777777" w:rsidR="00DA103E" w:rsidRDefault="004172D4" w:rsidP="00DA103E">
      <w:pPr>
        <w:pStyle w:val="Bezproreda"/>
      </w:pPr>
      <w:r>
        <w:tab/>
      </w:r>
      <w:r w:rsidR="004F650C">
        <w:t>Elektrotehnička škola ima planirane, a time i izvršene prihode i rashode od poslovanja, prihode od prodaje nefinancijske imovine , rashode za nabavu nefinancijske imovine te višak prihoda poslovanja.</w:t>
      </w:r>
    </w:p>
    <w:p w14:paraId="06784DB2" w14:textId="77777777" w:rsidR="004F650C" w:rsidRDefault="00EF08CE" w:rsidP="00DA103E">
      <w:pPr>
        <w:pStyle w:val="Bezproreda"/>
      </w:pPr>
      <w:r>
        <w:t>Što se tič</w:t>
      </w:r>
      <w:r w:rsidR="004F650C">
        <w:t xml:space="preserve">e izvršenja prihoda i rashoda u odnosu na plan u globalu nema </w:t>
      </w:r>
      <w:r w:rsidR="0011765C">
        <w:t>većih</w:t>
      </w:r>
      <w:r w:rsidR="004F650C">
        <w:t xml:space="preserve"> odstupanja.</w:t>
      </w:r>
    </w:p>
    <w:p w14:paraId="5049656D" w14:textId="77777777" w:rsidR="00CD5804" w:rsidRDefault="00CD5804" w:rsidP="00DA103E">
      <w:pPr>
        <w:pStyle w:val="Bezproreda"/>
      </w:pPr>
      <w:r>
        <w:t>Škola ostvaruje prihode i rashode iz sljedećih izvora financiranja:</w:t>
      </w:r>
    </w:p>
    <w:p w14:paraId="2AC4F68B" w14:textId="77777777" w:rsidR="00CD5804" w:rsidRDefault="00CD5804" w:rsidP="00CD5804">
      <w:pPr>
        <w:pStyle w:val="Bezproreda"/>
        <w:numPr>
          <w:ilvl w:val="0"/>
          <w:numId w:val="2"/>
        </w:numPr>
      </w:pPr>
      <w:r>
        <w:t>Opći prihodi i primici - 1.1.3 i 1.2.2</w:t>
      </w:r>
    </w:p>
    <w:p w14:paraId="6132F435" w14:textId="77777777" w:rsidR="00CD5804" w:rsidRDefault="00CD5804" w:rsidP="00CD5804">
      <w:pPr>
        <w:pStyle w:val="Bezproreda"/>
        <w:numPr>
          <w:ilvl w:val="0"/>
          <w:numId w:val="2"/>
        </w:numPr>
      </w:pPr>
      <w:r>
        <w:t>Vlastiti prihodi - 3.1.1</w:t>
      </w:r>
    </w:p>
    <w:p w14:paraId="7ACF7A8E" w14:textId="77777777" w:rsidR="00CD5804" w:rsidRDefault="00CD5804" w:rsidP="00CD5804">
      <w:pPr>
        <w:pStyle w:val="Bezproreda"/>
        <w:numPr>
          <w:ilvl w:val="0"/>
          <w:numId w:val="2"/>
        </w:numPr>
      </w:pPr>
      <w:r>
        <w:t>Prihodi za posebne namjene  -  4.3.1</w:t>
      </w:r>
    </w:p>
    <w:p w14:paraId="049D899C" w14:textId="77777777" w:rsidR="00CD5804" w:rsidRDefault="00CD5804" w:rsidP="00CD5804">
      <w:pPr>
        <w:pStyle w:val="Bezproreda"/>
        <w:numPr>
          <w:ilvl w:val="0"/>
          <w:numId w:val="2"/>
        </w:numPr>
      </w:pPr>
      <w:r>
        <w:t>Pomoći iz drugih proračuna – 5.2.1</w:t>
      </w:r>
    </w:p>
    <w:p w14:paraId="2AB4C811" w14:textId="77777777" w:rsidR="00CD5804" w:rsidRDefault="00CD5804" w:rsidP="00CD5804">
      <w:pPr>
        <w:pStyle w:val="Bezproreda"/>
        <w:numPr>
          <w:ilvl w:val="0"/>
          <w:numId w:val="2"/>
        </w:numPr>
      </w:pPr>
      <w:r>
        <w:t>Pomoći temeljem prijenosa EU sredstava – 5.6.1</w:t>
      </w:r>
    </w:p>
    <w:p w14:paraId="746BF5F6" w14:textId="77777777" w:rsidR="00CD5804" w:rsidRDefault="00CD5804" w:rsidP="00CD5804">
      <w:pPr>
        <w:pStyle w:val="Bezproreda"/>
        <w:numPr>
          <w:ilvl w:val="0"/>
          <w:numId w:val="2"/>
        </w:numPr>
      </w:pPr>
      <w:r>
        <w:t>Donacije – 6.1.1</w:t>
      </w:r>
    </w:p>
    <w:p w14:paraId="6CC7CAA3" w14:textId="0D536EAB" w:rsidR="00834F9F" w:rsidRDefault="00CD5804" w:rsidP="00834F9F">
      <w:pPr>
        <w:pStyle w:val="Bezproreda"/>
        <w:numPr>
          <w:ilvl w:val="0"/>
          <w:numId w:val="2"/>
        </w:numPr>
      </w:pPr>
      <w:r>
        <w:t xml:space="preserve">Prihod o prodaje </w:t>
      </w:r>
      <w:r w:rsidR="001D19F6">
        <w:t>nefinancijske</w:t>
      </w:r>
      <w:r>
        <w:t xml:space="preserve"> imovine 7.1.1</w:t>
      </w:r>
    </w:p>
    <w:p w14:paraId="47B5BB30" w14:textId="45C603CA" w:rsidR="00834F9F" w:rsidRDefault="00834F9F" w:rsidP="00EF08CE">
      <w:pPr>
        <w:pStyle w:val="Bezproreda"/>
      </w:pPr>
      <w:bookmarkStart w:id="1" w:name="_Hlk192660637"/>
      <w:bookmarkEnd w:id="0"/>
      <w:r>
        <w:t xml:space="preserve">U ostvarenju </w:t>
      </w:r>
      <w:r w:rsidR="009D203B">
        <w:t xml:space="preserve">ukupnih </w:t>
      </w:r>
      <w:r>
        <w:t>prihoda u 202</w:t>
      </w:r>
      <w:r w:rsidR="00655D3F">
        <w:t>4</w:t>
      </w:r>
      <w:r>
        <w:t xml:space="preserve">.g. </w:t>
      </w:r>
      <w:r w:rsidR="00B37A94">
        <w:t>, o</w:t>
      </w:r>
      <w:r>
        <w:t xml:space="preserve">stvareno je </w:t>
      </w:r>
      <w:r w:rsidR="00655D3F">
        <w:t xml:space="preserve">oko </w:t>
      </w:r>
      <w:r w:rsidR="009D203B">
        <w:t>5</w:t>
      </w:r>
      <w:r>
        <w:t>% ukupno planiranih prihoda</w:t>
      </w:r>
      <w:r w:rsidR="009D203B">
        <w:t xml:space="preserve"> </w:t>
      </w:r>
      <w:r w:rsidR="00655D3F">
        <w:t>manje</w:t>
      </w:r>
      <w:r w:rsidR="009D203B">
        <w:t xml:space="preserve"> u odnosu na planirano.</w:t>
      </w:r>
    </w:p>
    <w:bookmarkEnd w:id="1"/>
    <w:p w14:paraId="21DAF08A" w14:textId="77777777" w:rsidR="009D203B" w:rsidRDefault="009D203B" w:rsidP="00EF08CE">
      <w:pPr>
        <w:pStyle w:val="Bezproreda"/>
      </w:pPr>
      <w:r>
        <w:t>Najveće povećanje iskazano je na prihodima od imovine i prihodima po posebnim propisima.</w:t>
      </w:r>
    </w:p>
    <w:p w14:paraId="674A9846" w14:textId="08D59A83" w:rsidR="009D203B" w:rsidRDefault="009D203B" w:rsidP="00EF08CE">
      <w:pPr>
        <w:pStyle w:val="Bezproreda"/>
      </w:pPr>
      <w:r>
        <w:t>Za 202</w:t>
      </w:r>
      <w:r w:rsidR="00655D3F">
        <w:t>4</w:t>
      </w:r>
      <w:r>
        <w:t xml:space="preserve">.g. planirana je jedna isplata dividende u iznosu od </w:t>
      </w:r>
      <w:r w:rsidR="00AD65EB">
        <w:t>790,00</w:t>
      </w:r>
      <w:r>
        <w:t xml:space="preserve"> €, međutim Zagrebačka banka je u 202</w:t>
      </w:r>
      <w:r w:rsidR="00AD65EB">
        <w:t>4</w:t>
      </w:r>
      <w:r>
        <w:t xml:space="preserve">.g. isplatila dividendu u </w:t>
      </w:r>
      <w:r w:rsidR="00AD65EB">
        <w:t>iznosu od 1.197,55€</w:t>
      </w:r>
      <w:r>
        <w:t>.</w:t>
      </w:r>
    </w:p>
    <w:p w14:paraId="33C0B3D6" w14:textId="40DC39E3" w:rsidR="009D203B" w:rsidRDefault="009D203B" w:rsidP="00EF08CE">
      <w:pPr>
        <w:pStyle w:val="Bezproreda"/>
      </w:pPr>
      <w:r>
        <w:t xml:space="preserve">Na prihodima </w:t>
      </w:r>
      <w:r w:rsidR="00AD65EB">
        <w:t xml:space="preserve">od pomoći temeljem prijenosa EU sredstava </w:t>
      </w:r>
      <w:r w:rsidR="00FD5DE7">
        <w:t xml:space="preserve"> izvor </w:t>
      </w:r>
      <w:r w:rsidR="00AD65EB">
        <w:t xml:space="preserve">5.6 </w:t>
      </w:r>
      <w:r>
        <w:t xml:space="preserve">došlo je do povećanja prihoda </w:t>
      </w:r>
      <w:r w:rsidR="00AD65EB">
        <w:t>zbog programa Erasmus za koji ne znamo prilikom planiranja koliko će sredstava biti odobreno te zaostale isplate od RCK od oko 19.000€.</w:t>
      </w:r>
    </w:p>
    <w:p w14:paraId="02BFDCA2" w14:textId="56676627" w:rsidR="00AC7D42" w:rsidRDefault="00AC7D42" w:rsidP="00EF08CE">
      <w:pPr>
        <w:pStyle w:val="Bezproreda"/>
      </w:pPr>
      <w:r>
        <w:t>Na vlastitim prihodima</w:t>
      </w:r>
      <w:r w:rsidR="00FD5DE7">
        <w:t xml:space="preserve"> izvor 3.1.</w:t>
      </w:r>
      <w:r>
        <w:t xml:space="preserve"> ostvareno je više od planiranog zbog odrađenog tečaja za </w:t>
      </w:r>
      <w:r w:rsidR="00FD5DE7">
        <w:t xml:space="preserve">djelatnike </w:t>
      </w:r>
      <w:r w:rsidR="00AD65EB">
        <w:t>MORH</w:t>
      </w:r>
      <w:r w:rsidR="00FD5DE7">
        <w:t>-a, a</w:t>
      </w:r>
      <w:r>
        <w:t xml:space="preserve"> koji nije bio</w:t>
      </w:r>
      <w:r w:rsidR="00FD5DE7">
        <w:t xml:space="preserve"> planiran planom za 202</w:t>
      </w:r>
      <w:r w:rsidR="00AD65EB">
        <w:t>4</w:t>
      </w:r>
      <w:r w:rsidR="00FD5DE7">
        <w:t>.g.</w:t>
      </w:r>
    </w:p>
    <w:p w14:paraId="157FD5B2" w14:textId="295CA0D2" w:rsidR="00AC7D42" w:rsidRDefault="00AC7D42" w:rsidP="00EF08CE">
      <w:pPr>
        <w:pStyle w:val="Bezproreda"/>
      </w:pPr>
      <w:r>
        <w:t>Na pomoćima temeljem prijenosa EU sredstava</w:t>
      </w:r>
      <w:r w:rsidR="00FD5DE7">
        <w:t xml:space="preserve"> izvor 5.6.</w:t>
      </w:r>
      <w:r>
        <w:t xml:space="preserve"> realizirano je više prihoda od planiranih radi odobrenog novog projekta mobilnosti učenika koji nije bio planiran</w:t>
      </w:r>
      <w:r w:rsidR="00FD5DE7">
        <w:t>, a sredstva su nam doznačena u 202</w:t>
      </w:r>
      <w:r w:rsidR="00AD65EB">
        <w:t>4</w:t>
      </w:r>
      <w:r w:rsidR="00FD5DE7">
        <w:t>.g.</w:t>
      </w:r>
      <w:r w:rsidR="00AD65EB">
        <w:t xml:space="preserve">  te </w:t>
      </w:r>
      <w:r w:rsidR="003B774B">
        <w:t xml:space="preserve">od </w:t>
      </w:r>
      <w:r w:rsidR="00AD65EB">
        <w:t>doznačenih sredstava od RCK.</w:t>
      </w:r>
    </w:p>
    <w:p w14:paraId="6435D2E6" w14:textId="2EA42030" w:rsidR="00AC7D42" w:rsidRDefault="00AC7D42" w:rsidP="00EF08CE">
      <w:pPr>
        <w:pStyle w:val="Bezproreda"/>
      </w:pPr>
      <w:r>
        <w:t>Na donacijama</w:t>
      </w:r>
      <w:r w:rsidR="00FD5DE7">
        <w:t xml:space="preserve"> izvor 6.1.1.</w:t>
      </w:r>
      <w:r>
        <w:t xml:space="preserve"> je realizirano </w:t>
      </w:r>
      <w:r w:rsidR="00300106">
        <w:t xml:space="preserve">manje </w:t>
      </w:r>
      <w:r>
        <w:t xml:space="preserve"> prihoda od plana zbog dobivenih sredstava za </w:t>
      </w:r>
      <w:r w:rsidR="00FD5DE7">
        <w:t xml:space="preserve">provedbu </w:t>
      </w:r>
      <w:r>
        <w:t>projekt</w:t>
      </w:r>
      <w:r w:rsidR="00FD5DE7">
        <w:t>a</w:t>
      </w:r>
      <w:r>
        <w:t xml:space="preserve"> Turističke zajednice Grada Zagreba</w:t>
      </w:r>
      <w:r w:rsidR="00FD5DE7">
        <w:t xml:space="preserve">, a za kojeg </w:t>
      </w:r>
      <w:r>
        <w:t>se sredstva knjiže kao donacija</w:t>
      </w:r>
      <w:r w:rsidR="00300106">
        <w:t>, a ista su bila doznačena u prosincu 2023. dok se realizacija projekta radila tijekom 2024.</w:t>
      </w:r>
    </w:p>
    <w:p w14:paraId="7FE8AC19" w14:textId="7F6FBCE4" w:rsidR="009D203B" w:rsidRDefault="00AC7D42" w:rsidP="00AC7D42">
      <w:pPr>
        <w:pStyle w:val="Bezproreda"/>
      </w:pPr>
      <w:r>
        <w:t>Odnos planiranih i ostvarenih prohoda prema ekonomskoj klasifikaciji i izvorima financiranja prikazan je u tablicama 1. i 2. u nastavku</w:t>
      </w:r>
      <w:r w:rsidR="003B774B">
        <w:t>.</w:t>
      </w:r>
    </w:p>
    <w:p w14:paraId="7CAE6C03" w14:textId="77777777" w:rsidR="003B774B" w:rsidRDefault="003B774B" w:rsidP="00AC7D42">
      <w:pPr>
        <w:pStyle w:val="Bezproreda"/>
      </w:pPr>
    </w:p>
    <w:p w14:paraId="2C65D230" w14:textId="77777777" w:rsidR="003B774B" w:rsidRDefault="003B774B" w:rsidP="00AC7D42">
      <w:pPr>
        <w:pStyle w:val="Bezproreda"/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5929"/>
        <w:gridCol w:w="266"/>
        <w:gridCol w:w="1394"/>
        <w:gridCol w:w="1660"/>
        <w:gridCol w:w="920"/>
      </w:tblGrid>
      <w:tr w:rsidR="009D203B" w:rsidRPr="009D203B" w14:paraId="71D895D8" w14:textId="77777777" w:rsidTr="009D203B">
        <w:trPr>
          <w:trHeight w:val="30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B057" w14:textId="77777777" w:rsidR="009D203B" w:rsidRPr="003B774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77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Tablica 1. - prihodi prema ekonomskoj klasifikaciji</w:t>
            </w:r>
          </w:p>
          <w:p w14:paraId="1C1F4687" w14:textId="01DA1545" w:rsidR="003B774B" w:rsidRPr="009D203B" w:rsidRDefault="003B774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DDD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9A9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D454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D203B" w:rsidRPr="009D203B" w14:paraId="2073174E" w14:textId="77777777" w:rsidTr="00C41292">
        <w:trPr>
          <w:trHeight w:val="2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7F13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BC44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7AA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023A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5372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D203B" w:rsidRPr="009D203B" w14:paraId="714B5DE9" w14:textId="77777777" w:rsidTr="00C41292">
        <w:trPr>
          <w:trHeight w:val="562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A51CB79" w14:textId="77777777" w:rsidR="009D203B" w:rsidRPr="009D203B" w:rsidRDefault="009D203B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Vrsta prihoda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000000" w:fill="808080"/>
            <w:vAlign w:val="center"/>
            <w:hideMark/>
          </w:tcPr>
          <w:p w14:paraId="2EF7CD61" w14:textId="08D210D2" w:rsidR="009D203B" w:rsidRPr="009D203B" w:rsidRDefault="009D203B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Planirano u  202</w:t>
            </w:r>
            <w:r w:rsidR="00300106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4</w:t>
            </w:r>
            <w:r w:rsidRPr="009D203B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000000" w:fill="808080"/>
            <w:vAlign w:val="center"/>
            <w:hideMark/>
          </w:tcPr>
          <w:p w14:paraId="738ED5C8" w14:textId="7B370545" w:rsidR="009D203B" w:rsidRPr="009D203B" w:rsidRDefault="009D203B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Ostvareno u 202</w:t>
            </w:r>
            <w:r w:rsidR="00300106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4</w:t>
            </w:r>
            <w:r w:rsidRPr="009D203B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9AC47CD" w14:textId="77777777" w:rsidR="009D203B" w:rsidRPr="009D203B" w:rsidRDefault="009D203B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Indeks</w:t>
            </w:r>
          </w:p>
        </w:tc>
      </w:tr>
      <w:tr w:rsidR="009D203B" w:rsidRPr="009D203B" w14:paraId="0D19399E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35E96B2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EC82FF7" w14:textId="6D324871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2.903.505</w:t>
            </w:r>
            <w:r w:rsidR="009D203B" w:rsidRPr="009D20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0E4CF9A" w14:textId="144C30A0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2.742.912,51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D1B9D" w14:textId="0A069663" w:rsidR="009D203B" w:rsidRPr="009D203B" w:rsidRDefault="00300106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</w:t>
            </w:r>
            <w:r w:rsidR="009D203B" w:rsidRPr="009D20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9D203B" w:rsidRPr="009D203B" w14:paraId="2B03C138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BC4253D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1. PRIHODI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ED54989" w14:textId="30970B0D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2.903.455,00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772E555" w14:textId="4F859225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2.742.901,42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E28B" w14:textId="46D6B2A8" w:rsidR="009D203B" w:rsidRPr="009D203B" w:rsidRDefault="00300106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</w:t>
            </w:r>
            <w:r w:rsidR="009D203B" w:rsidRPr="009D20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9D203B" w:rsidRPr="009D203B" w14:paraId="197CC083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A184933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a) Pomoći iz inozemstva i od subjekata unutar općeg proračuna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0BD0AC9" w14:textId="16CAFC69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2.459.155,00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F539205" w14:textId="07449B73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2.403.687,96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58ADB" w14:textId="55421E12" w:rsidR="009D203B" w:rsidRPr="009D203B" w:rsidRDefault="00300106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97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5BF2DCA3" w14:textId="77777777" w:rsidTr="003578FD">
        <w:trPr>
          <w:trHeight w:val="315"/>
        </w:trPr>
        <w:tc>
          <w:tcPr>
            <w:tcW w:w="5929" w:type="dxa"/>
            <w:tcBorders>
              <w:top w:val="nil"/>
              <w:left w:val="single" w:sz="8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1F229F8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b) Prihodi od imovine</w:t>
            </w:r>
          </w:p>
        </w:tc>
        <w:tc>
          <w:tcPr>
            <w:tcW w:w="211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240FAC5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1E10BB8" w14:textId="17D353A1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5582" w14:textId="1AC47B5D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1.197,55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1086" w14:textId="1FAC7980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149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3B9BE9E4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single" w:sz="8" w:space="0" w:color="F2F2F2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F075214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c) Prihodi od upravnih i administ</w:t>
            </w:r>
            <w:r w:rsidR="00951BA9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ativnih pristojbi, pristojbi</w:t>
            </w:r>
          </w:p>
        </w:tc>
        <w:tc>
          <w:tcPr>
            <w:tcW w:w="1340" w:type="dxa"/>
            <w:vMerge w:val="restart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center"/>
            <w:hideMark/>
          </w:tcPr>
          <w:p w14:paraId="26E47C38" w14:textId="045DB59E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2.100,00</w:t>
            </w:r>
          </w:p>
        </w:tc>
        <w:tc>
          <w:tcPr>
            <w:tcW w:w="1660" w:type="dxa"/>
            <w:vMerge w:val="restart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267E379A" w14:textId="102DD9AB" w:rsidR="009D203B" w:rsidRPr="009D203B" w:rsidRDefault="00300106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3.180,00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DED1" w14:textId="08771BBE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151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62813F68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768B43B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po posebnim propisima i naknadama</w:t>
            </w:r>
          </w:p>
        </w:tc>
        <w:tc>
          <w:tcPr>
            <w:tcW w:w="1340" w:type="dxa"/>
            <w:vMerge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vAlign w:val="center"/>
            <w:hideMark/>
          </w:tcPr>
          <w:p w14:paraId="36D7248F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nil"/>
            </w:tcBorders>
            <w:vAlign w:val="center"/>
            <w:hideMark/>
          </w:tcPr>
          <w:p w14:paraId="76A255B7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vAlign w:val="center"/>
            <w:hideMark/>
          </w:tcPr>
          <w:p w14:paraId="4CBF5088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D203B" w:rsidRPr="009D203B" w14:paraId="770B56D9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single" w:sz="8" w:space="0" w:color="F2F2F2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36A55FF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d) Prihodi od prodaje proizvoda i robe te pruženih usluga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center"/>
            <w:hideMark/>
          </w:tcPr>
          <w:p w14:paraId="7171C99C" w14:textId="29D01B99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41.700,00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F2F2F2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35506BCB" w14:textId="4DA3F002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41.079,64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29FA" w14:textId="0EA2E38D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98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7C44D637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90FCCC7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i prihodi od donacija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vAlign w:val="center"/>
            <w:hideMark/>
          </w:tcPr>
          <w:p w14:paraId="3E2FB134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F2F2F2"/>
              <w:bottom w:val="single" w:sz="8" w:space="0" w:color="F2F2F2"/>
              <w:right w:val="nil"/>
            </w:tcBorders>
            <w:vAlign w:val="center"/>
            <w:hideMark/>
          </w:tcPr>
          <w:p w14:paraId="46ADF999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vAlign w:val="center"/>
            <w:hideMark/>
          </w:tcPr>
          <w:p w14:paraId="1B4D3707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D203B" w:rsidRPr="009D203B" w14:paraId="5F4E5DC3" w14:textId="77777777" w:rsidTr="009D203B">
        <w:trPr>
          <w:trHeight w:val="300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7DAF18A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e) Prihodi iz nadležnog proračuna i HZZO-a na temelju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center"/>
            <w:hideMark/>
          </w:tcPr>
          <w:p w14:paraId="25713B30" w14:textId="53F98A74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399.700,00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F2F2F2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03F86440" w14:textId="3238D667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293.687,62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AD7C" w14:textId="7F4DC01E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7DE0ED6B" w14:textId="77777777" w:rsidTr="003578FD">
        <w:trPr>
          <w:trHeight w:val="315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8" w:space="0" w:color="F2F2F2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C6FFB72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          ugovornih obveza</w:t>
            </w:r>
          </w:p>
        </w:tc>
        <w:tc>
          <w:tcPr>
            <w:tcW w:w="211" w:type="dxa"/>
            <w:tcBorders>
              <w:top w:val="nil"/>
              <w:left w:val="single" w:sz="4" w:space="0" w:color="FFFFFF" w:themeColor="background1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F0E3D0C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vAlign w:val="center"/>
            <w:hideMark/>
          </w:tcPr>
          <w:p w14:paraId="7048E021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F2F2F2"/>
              <w:bottom w:val="single" w:sz="8" w:space="0" w:color="F2F2F2"/>
              <w:right w:val="nil"/>
            </w:tcBorders>
            <w:vAlign w:val="center"/>
            <w:hideMark/>
          </w:tcPr>
          <w:p w14:paraId="36CB4BF9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vAlign w:val="center"/>
            <w:hideMark/>
          </w:tcPr>
          <w:p w14:paraId="302E5E35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D203B" w:rsidRPr="009D203B" w14:paraId="35B24A03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single" w:sz="8" w:space="0" w:color="F2F2F2"/>
              <w:left w:val="single" w:sz="8" w:space="0" w:color="auto"/>
              <w:bottom w:val="single" w:sz="4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9011DBA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f) Kazne, upravne mjere i 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ADE4C26" w14:textId="77777777" w:rsidR="009D203B" w:rsidRPr="009D203B" w:rsidRDefault="009D203B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D1C3701" w14:textId="37BF638F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FC19" w14:textId="78AD74C6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75CA80EA" w14:textId="77777777" w:rsidTr="009D203B">
        <w:trPr>
          <w:trHeight w:val="300"/>
        </w:trPr>
        <w:tc>
          <w:tcPr>
            <w:tcW w:w="6140" w:type="dxa"/>
            <w:gridSpan w:val="2"/>
            <w:tcBorders>
              <w:top w:val="single" w:sz="4" w:space="0" w:color="F2F2F2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3CE238B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2. PRIHODI OD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5CA" w14:textId="77777777" w:rsidR="009D203B" w:rsidRPr="009D203B" w:rsidRDefault="009D203B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3C5C" w14:textId="4ED20B38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11,09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8776E" w14:textId="07E09B57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D203B" w:rsidRPr="009D203B" w14:paraId="24C030EC" w14:textId="77777777" w:rsidTr="009D203B">
        <w:trPr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4C0758F" w14:textId="77777777" w:rsidR="009D203B" w:rsidRPr="009D203B" w:rsidRDefault="009D203B" w:rsidP="009D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a) prihodi od prodaje postrojenja i opreme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E62A" w14:textId="77777777" w:rsidR="009D203B" w:rsidRPr="009D203B" w:rsidRDefault="009D203B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8C70" w14:textId="780C6FA2" w:rsidR="009D203B" w:rsidRPr="009D203B" w:rsidRDefault="00EC2FB3" w:rsidP="009D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5A7C" w14:textId="42937414" w:rsidR="009D203B" w:rsidRPr="009D203B" w:rsidRDefault="00EC2FB3" w:rsidP="009D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  <w:r w:rsidR="009D203B" w:rsidRPr="009D203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</w:tbl>
    <w:p w14:paraId="7C219A75" w14:textId="593D501B" w:rsidR="00993F89" w:rsidRDefault="00993F89" w:rsidP="00123F0E">
      <w:pPr>
        <w:pStyle w:val="Bezproreda"/>
      </w:pPr>
    </w:p>
    <w:p w14:paraId="2036FF64" w14:textId="77777777" w:rsidR="003B774B" w:rsidRDefault="003B774B" w:rsidP="00123F0E">
      <w:pPr>
        <w:pStyle w:val="Bezproreda"/>
      </w:pP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5394"/>
        <w:gridCol w:w="1826"/>
        <w:gridCol w:w="1760"/>
        <w:gridCol w:w="960"/>
      </w:tblGrid>
      <w:tr w:rsidR="00123F0E" w:rsidRPr="00123F0E" w14:paraId="6C6D7306" w14:textId="77777777" w:rsidTr="00AC7D42">
        <w:trPr>
          <w:trHeight w:val="170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AB5" w14:textId="77777777" w:rsidR="00AC7D42" w:rsidRPr="003B774B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77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Tablica 2. - </w:t>
            </w:r>
            <w:bookmarkStart w:id="2" w:name="_Hlk192662580"/>
            <w:r w:rsidRPr="003B77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prema izvoru financiranja </w:t>
            </w:r>
            <w:bookmarkEnd w:id="2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381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5DB" w14:textId="77777777" w:rsidR="00123F0E" w:rsidRPr="00123F0E" w:rsidRDefault="00123F0E" w:rsidP="0012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3F0E" w:rsidRPr="00123F0E" w14:paraId="2A6C552E" w14:textId="77777777" w:rsidTr="00123F0E">
        <w:trPr>
          <w:trHeight w:val="315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9FAC" w14:textId="77777777" w:rsidR="00123F0E" w:rsidRPr="00123F0E" w:rsidRDefault="00123F0E" w:rsidP="0012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1F1" w14:textId="77777777" w:rsidR="00123F0E" w:rsidRPr="00123F0E" w:rsidRDefault="00123F0E" w:rsidP="0012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56D4" w14:textId="77777777" w:rsidR="00123F0E" w:rsidRPr="00123F0E" w:rsidRDefault="00123F0E" w:rsidP="0012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968" w14:textId="77777777" w:rsidR="00123F0E" w:rsidRPr="00123F0E" w:rsidRDefault="00123F0E" w:rsidP="0012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3F0E" w:rsidRPr="00123F0E" w14:paraId="29560287" w14:textId="77777777" w:rsidTr="00123F0E">
        <w:trPr>
          <w:trHeight w:val="765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90C9CDB" w14:textId="77777777" w:rsidR="00123F0E" w:rsidRPr="00123F0E" w:rsidRDefault="00123F0E" w:rsidP="0012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hr-HR"/>
              </w:rPr>
              <w:t>Izvor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3EA3A8E" w14:textId="6A7FE779" w:rsidR="00123F0E" w:rsidRPr="00123F0E" w:rsidRDefault="00123F0E" w:rsidP="0012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Planirano u  202</w:t>
            </w:r>
            <w:r w:rsidR="00EC2FB3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4</w:t>
            </w:r>
            <w:r w:rsidRPr="00123F0E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BD50785" w14:textId="77F00060" w:rsidR="00123F0E" w:rsidRPr="00123F0E" w:rsidRDefault="00123F0E" w:rsidP="0012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Ostvareno u 202</w:t>
            </w:r>
            <w:r w:rsidR="00EC2FB3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4</w:t>
            </w:r>
            <w:r w:rsidRPr="00123F0E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68E3A0E" w14:textId="77777777" w:rsidR="00123F0E" w:rsidRPr="00123F0E" w:rsidRDefault="00123F0E" w:rsidP="0012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Indeks</w:t>
            </w:r>
          </w:p>
        </w:tc>
      </w:tr>
      <w:tr w:rsidR="00123F0E" w:rsidRPr="00123F0E" w14:paraId="46EA3369" w14:textId="77777777" w:rsidTr="00123F0E">
        <w:trPr>
          <w:trHeight w:val="315"/>
        </w:trPr>
        <w:tc>
          <w:tcPr>
            <w:tcW w:w="5394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3ABCDE8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Opći prihodi i primici - proračun Grada Zagreba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1.2.2. i 1.1.3.</w:t>
            </w:r>
          </w:p>
        </w:tc>
        <w:tc>
          <w:tcPr>
            <w:tcW w:w="1826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1072774" w14:textId="3D1EFEC6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399.700,00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A8175BE" w14:textId="060FBD72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293.687,62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C360" w14:textId="2FD20995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123F0E" w:rsidRPr="00123F0E" w14:paraId="7626D595" w14:textId="77777777" w:rsidTr="00123F0E">
        <w:trPr>
          <w:trHeight w:val="315"/>
        </w:trPr>
        <w:tc>
          <w:tcPr>
            <w:tcW w:w="5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0E99" w14:textId="3BF7F450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Vlastiti i prihodi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3.1.1.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313DA0C" w14:textId="515F8A04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BA0EFBA" w14:textId="22B8AA78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33.775,84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98598" w14:textId="625532EB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120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123F0E" w:rsidRPr="00123F0E" w14:paraId="3D2C60DA" w14:textId="77777777" w:rsidTr="00123F0E">
        <w:trPr>
          <w:trHeight w:val="315"/>
        </w:trPr>
        <w:tc>
          <w:tcPr>
            <w:tcW w:w="5394" w:type="dxa"/>
            <w:tcBorders>
              <w:top w:val="single" w:sz="8" w:space="0" w:color="F2F2F2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AC44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za posebne namjene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4.3.1.</w:t>
            </w:r>
          </w:p>
        </w:tc>
        <w:tc>
          <w:tcPr>
            <w:tcW w:w="18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EC97F5A" w14:textId="1DD5D0E3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2.100,00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3276095" w14:textId="18BF552F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3.180,00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1981" w14:textId="68641B96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151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123F0E" w:rsidRPr="00123F0E" w14:paraId="3CCA7D40" w14:textId="77777777" w:rsidTr="00123F0E">
        <w:trPr>
          <w:trHeight w:val="315"/>
        </w:trPr>
        <w:tc>
          <w:tcPr>
            <w:tcW w:w="5394" w:type="dxa"/>
            <w:tcBorders>
              <w:top w:val="single" w:sz="8" w:space="0" w:color="F2F2F2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FC1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Pomoći - proračun MZO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5.2.1.</w:t>
            </w:r>
          </w:p>
        </w:tc>
        <w:tc>
          <w:tcPr>
            <w:tcW w:w="18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3DC80AC" w14:textId="7A76E283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2.428.155,00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D410CFE" w14:textId="23B4DCE2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2.328.379,82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C4331" w14:textId="31D0E318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95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123F0E" w:rsidRPr="00123F0E" w14:paraId="67F52B0D" w14:textId="77777777" w:rsidTr="00123F0E">
        <w:trPr>
          <w:trHeight w:val="315"/>
        </w:trPr>
        <w:tc>
          <w:tcPr>
            <w:tcW w:w="5394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F33E0E8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Donacije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6.1.1.</w:t>
            </w:r>
          </w:p>
        </w:tc>
        <w:tc>
          <w:tcPr>
            <w:tcW w:w="1826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4480A42" w14:textId="4FAE90DD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14.500,00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ABE67FC" w14:textId="5E401D91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8.570,00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F881" w14:textId="14B14833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123F0E" w:rsidRPr="00123F0E" w14:paraId="224C2952" w14:textId="77777777" w:rsidTr="00123F0E">
        <w:trPr>
          <w:trHeight w:val="315"/>
        </w:trPr>
        <w:tc>
          <w:tcPr>
            <w:tcW w:w="5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88C9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Tekuće pomoći temeljem prijenosa EU sredstava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5.6.1.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B69528C" w14:textId="27C83CFA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31.000,00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290A24B" w14:textId="2E420F90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75.308,14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047E" w14:textId="3993DC13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242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123F0E" w:rsidRPr="00123F0E" w14:paraId="09036137" w14:textId="77777777" w:rsidTr="00123F0E">
        <w:trPr>
          <w:trHeight w:val="315"/>
        </w:trPr>
        <w:tc>
          <w:tcPr>
            <w:tcW w:w="5394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9F692" w14:textId="77777777" w:rsidR="00123F0E" w:rsidRPr="00123F0E" w:rsidRDefault="00123F0E" w:rsidP="0012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prodaje ili zamjene </w:t>
            </w:r>
            <w:proofErr w:type="spellStart"/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nef</w:t>
            </w:r>
            <w:proofErr w:type="spellEnd"/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. Imovine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7.1.1.</w:t>
            </w:r>
          </w:p>
        </w:tc>
        <w:tc>
          <w:tcPr>
            <w:tcW w:w="1826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AD51953" w14:textId="77777777" w:rsidR="00123F0E" w:rsidRPr="00123F0E" w:rsidRDefault="00123F0E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50,00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80A3" w14:textId="045C95D1" w:rsidR="00123F0E" w:rsidRPr="00123F0E" w:rsidRDefault="00EC2FB3" w:rsidP="0012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11,09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ADE2" w14:textId="365346E5" w:rsidR="00123F0E" w:rsidRPr="00123F0E" w:rsidRDefault="00EC2FB3" w:rsidP="00EC2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  <w:r w:rsidR="00123F0E" w:rsidRPr="00123F0E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</w:tbl>
    <w:p w14:paraId="61B5319A" w14:textId="77777777" w:rsidR="00123F0E" w:rsidRDefault="00123F0E" w:rsidP="00102FA0">
      <w:pPr>
        <w:pStyle w:val="Bezproreda"/>
        <w:ind w:firstLine="360"/>
      </w:pPr>
    </w:p>
    <w:p w14:paraId="7F3CCABE" w14:textId="7EF0A49D" w:rsidR="00FD5DE7" w:rsidRDefault="00FD5DE7" w:rsidP="00FD5DE7">
      <w:pPr>
        <w:pStyle w:val="Bezproreda"/>
        <w:ind w:firstLine="360"/>
      </w:pPr>
      <w:r>
        <w:t>Kod izvršenja sveukupnih rashoda nema znatnijih odstupanja</w:t>
      </w:r>
      <w:r w:rsidR="00A468E7">
        <w:t xml:space="preserve"> </w:t>
      </w:r>
    </w:p>
    <w:p w14:paraId="601C092D" w14:textId="5A624177" w:rsidR="00303270" w:rsidRDefault="00303270" w:rsidP="00303270">
      <w:pPr>
        <w:rPr>
          <w:rFonts w:ascii="Calibri" w:eastAsia="Times New Roman" w:hAnsi="Calibri" w:cs="Calibri"/>
          <w:color w:val="000000"/>
          <w:lang w:eastAsia="hr-HR"/>
        </w:rPr>
      </w:pPr>
      <w:r>
        <w:t xml:space="preserve">Odstupanje se primjećuje na skupini 37- </w:t>
      </w:r>
      <w:r w:rsidRPr="00303270">
        <w:rPr>
          <w:rFonts w:ascii="Calibri" w:eastAsia="Times New Roman" w:hAnsi="Calibri" w:cs="Calibri"/>
          <w:color w:val="000000"/>
          <w:lang w:eastAsia="hr-HR"/>
        </w:rPr>
        <w:t>Naknade građanima i kućanstvima na temelju osiguranja i druge naknade</w:t>
      </w:r>
      <w:r>
        <w:rPr>
          <w:rFonts w:ascii="Calibri" w:eastAsia="Times New Roman" w:hAnsi="Calibri" w:cs="Calibri"/>
          <w:color w:val="000000"/>
          <w:lang w:eastAsia="hr-HR"/>
        </w:rPr>
        <w:t>, ovdje se planiraju isplate za uspješnost na natjecanjima poput nagrade Baltazar koje je teško predvidjeti te se uvijek planira nešto više sredstava kako bi se izvrsni učenici mogli novčano nagraditi.</w:t>
      </w:r>
    </w:p>
    <w:p w14:paraId="06764CD3" w14:textId="1588736A" w:rsidR="00303270" w:rsidRDefault="00303270" w:rsidP="00303270">
      <w:pPr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 skupini 38-Ostali rashodi, planirano je samo 155,00€ za menstrualne potrepštine no potrošio se točan iznos koji je dobiven od grada i ministarstva u iznosu od 68,54€.</w:t>
      </w:r>
    </w:p>
    <w:p w14:paraId="2EC057BD" w14:textId="22032A3C" w:rsidR="00217367" w:rsidRDefault="00217367" w:rsidP="00303270">
      <w:pPr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 skupini 42-rashodi za nabavu proizveden dugotrajne imovine, odstupanje se dogodilo na poziciji za nabavu udžbenika gdje je grad planirao 86.400,00€, a ostvarenje je 39.617,41€ koliko je grad doznačio na žiro račun škole.</w:t>
      </w:r>
    </w:p>
    <w:p w14:paraId="0192F697" w14:textId="53BC7247" w:rsidR="00FD5DE7" w:rsidRDefault="00C41292" w:rsidP="00C41292">
      <w:pPr>
        <w:pStyle w:val="Bezproreda"/>
      </w:pPr>
      <w:r>
        <w:t>Odnos planiranih i ostvarenih rashoda prema ekonomskoj klasifikaciji i izvorima financiranja prikazan je u tablicama 3. i 4. u nastavku</w:t>
      </w:r>
      <w:r w:rsidR="003B774B">
        <w:t>.</w:t>
      </w:r>
    </w:p>
    <w:p w14:paraId="7F78E30F" w14:textId="5BABAB69" w:rsidR="003B774B" w:rsidRDefault="003B774B" w:rsidP="00C41292">
      <w:pPr>
        <w:pStyle w:val="Bezproreda"/>
      </w:pPr>
    </w:p>
    <w:p w14:paraId="63DBC9D0" w14:textId="77777777" w:rsidR="003B774B" w:rsidRDefault="003B774B" w:rsidP="00C41292">
      <w:pPr>
        <w:pStyle w:val="Bezproreda"/>
      </w:pPr>
    </w:p>
    <w:tbl>
      <w:tblPr>
        <w:tblW w:w="10286" w:type="dxa"/>
        <w:tblInd w:w="108" w:type="dxa"/>
        <w:tblLook w:val="04A0" w:firstRow="1" w:lastRow="0" w:firstColumn="1" w:lastColumn="0" w:noHBand="0" w:noVBand="1"/>
      </w:tblPr>
      <w:tblGrid>
        <w:gridCol w:w="6046"/>
        <w:gridCol w:w="266"/>
        <w:gridCol w:w="1394"/>
        <w:gridCol w:w="1660"/>
        <w:gridCol w:w="920"/>
      </w:tblGrid>
      <w:tr w:rsidR="00D35025" w:rsidRPr="00D35025" w14:paraId="2F22CD1A" w14:textId="77777777" w:rsidTr="00951BA9">
        <w:trPr>
          <w:trHeight w:val="340"/>
        </w:trPr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9D2" w14:textId="77777777" w:rsidR="00D35025" w:rsidRPr="003B774B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77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Tablica 3 . - rashodi prema ekonomskoj klasifikaciji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AB9E" w14:textId="77777777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B37" w14:textId="77777777" w:rsidR="00D35025" w:rsidRPr="00D35025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FB2" w14:textId="77777777" w:rsidR="00D35025" w:rsidRPr="00D35025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5025" w:rsidRPr="00D35025" w14:paraId="6240D029" w14:textId="77777777" w:rsidTr="00951BA9">
        <w:trPr>
          <w:trHeight w:val="283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567" w14:textId="77777777" w:rsidR="00D35025" w:rsidRPr="003B774B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AC9" w14:textId="77777777" w:rsidR="00D35025" w:rsidRPr="00D35025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6BF" w14:textId="77777777" w:rsidR="00D35025" w:rsidRPr="00D35025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9ED" w14:textId="77777777" w:rsidR="00D35025" w:rsidRPr="00D35025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A04F" w14:textId="77777777" w:rsidR="00D35025" w:rsidRPr="00D35025" w:rsidRDefault="00D35025" w:rsidP="00D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5025" w:rsidRPr="00D35025" w14:paraId="4A51EE1A" w14:textId="77777777" w:rsidTr="00951BA9">
        <w:trPr>
          <w:trHeight w:val="705"/>
        </w:trPr>
        <w:tc>
          <w:tcPr>
            <w:tcW w:w="6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7EB073" w14:textId="77777777" w:rsidR="00D35025" w:rsidRPr="00D35025" w:rsidRDefault="00D35025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Vrsta rashoda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000000" w:fill="808080"/>
            <w:vAlign w:val="center"/>
            <w:hideMark/>
          </w:tcPr>
          <w:p w14:paraId="764419C5" w14:textId="19758CE0" w:rsidR="00D35025" w:rsidRPr="00D35025" w:rsidRDefault="00D35025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Planirano u  202</w:t>
            </w:r>
            <w:r w:rsidR="00916686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4</w:t>
            </w:r>
            <w:r w:rsidRPr="00D3502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000000" w:fill="808080"/>
            <w:vAlign w:val="center"/>
            <w:hideMark/>
          </w:tcPr>
          <w:p w14:paraId="2D9D8D48" w14:textId="121FE3DB" w:rsidR="00D35025" w:rsidRPr="00D35025" w:rsidRDefault="00D35025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Izvršeno u  202</w:t>
            </w:r>
            <w:r w:rsidR="00916686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4</w:t>
            </w:r>
            <w:r w:rsidRPr="00D3502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041E098" w14:textId="77777777" w:rsidR="00D35025" w:rsidRPr="00D35025" w:rsidRDefault="00D35025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hr-HR"/>
              </w:rPr>
              <w:t>Indeks</w:t>
            </w:r>
          </w:p>
        </w:tc>
      </w:tr>
      <w:tr w:rsidR="00D35025" w:rsidRPr="00D35025" w14:paraId="5E2FD48F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4282ED7" w14:textId="77777777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499CE50" w14:textId="6115186B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2.972.305,00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B8CB598" w14:textId="1F60AF92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2.748.761,02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F5C96" w14:textId="2F48210E" w:rsidR="00D35025" w:rsidRPr="00D35025" w:rsidRDefault="00916686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</w:t>
            </w:r>
            <w:r w:rsidR="00D35025" w:rsidRPr="00D3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D35025" w:rsidRPr="00D35025" w14:paraId="39B675DE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BFA6BA1" w14:textId="62CA2D0C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1. RASHODI POSLOVANJA</w:t>
            </w:r>
            <w:r w:rsidR="0091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0FFFF18" w14:textId="52897322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2.857.855,00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7E9FC14" w14:textId="18A17E21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2.686.212,66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8C97" w14:textId="0361B7FA" w:rsidR="00D35025" w:rsidRPr="00D35025" w:rsidRDefault="00916686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95</w:t>
            </w:r>
            <w:r w:rsidR="00D35025" w:rsidRPr="00D3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D35025" w:rsidRPr="00D35025" w14:paraId="77FDA8DF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7D4868A" w14:textId="76733D18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a) Rashodi za zaposlene</w:t>
            </w:r>
            <w:r w:rsidR="0091668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(31)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F3A1B26" w14:textId="44470D1D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2.420.400,00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330516E" w14:textId="45BBDA03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2.316.530,31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AD85" w14:textId="7C4E2263" w:rsidR="00D35025" w:rsidRPr="00D35025" w:rsidRDefault="00916686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95</w:t>
            </w:r>
            <w:r w:rsidR="00D35025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D35025" w:rsidRPr="00D35025" w14:paraId="0B24C29B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9445FE2" w14:textId="608C7BED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b) Materijalni rashodi</w:t>
            </w:r>
            <w:r w:rsidR="0091668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(32)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F1F3818" w14:textId="04AE735C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623" w14:textId="4AA8F984" w:rsidR="00D35025" w:rsidRPr="00D35025" w:rsidRDefault="00916686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  <w:r w:rsidR="00303270">
              <w:rPr>
                <w:rFonts w:ascii="Calibri" w:eastAsia="Times New Roman" w:hAnsi="Calibri" w:cs="Calibri"/>
                <w:color w:val="000000"/>
                <w:lang w:eastAsia="hr-HR"/>
              </w:rPr>
              <w:t>2.969,67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90941" w14:textId="453F0DBC" w:rsidR="00D35025" w:rsidRPr="00D35025" w:rsidRDefault="00303270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84</w:t>
            </w:r>
            <w:r w:rsidR="00D35025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D35025" w:rsidRPr="00D35025" w14:paraId="796BF18A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C4A6C6F" w14:textId="2EB4D5D2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c) Financijski rashodi</w:t>
            </w:r>
            <w:r w:rsidR="0091668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(34)</w:t>
            </w:r>
          </w:p>
        </w:tc>
        <w:tc>
          <w:tcPr>
            <w:tcW w:w="1394" w:type="dxa"/>
            <w:tcBorders>
              <w:top w:val="single" w:sz="8" w:space="0" w:color="F2F2F2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E2E93AC" w14:textId="3DA9008A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7.400,00</w:t>
            </w:r>
          </w:p>
        </w:tc>
        <w:tc>
          <w:tcPr>
            <w:tcW w:w="166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3EA" w14:textId="19F2456F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5.824,14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CB72C" w14:textId="1332C6DC" w:rsidR="00D35025" w:rsidRPr="00D35025" w:rsidRDefault="00303270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78</w:t>
            </w:r>
            <w:r w:rsidR="00D35025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D35025" w:rsidRPr="00D35025" w14:paraId="6711EFBA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D1E442D" w14:textId="60DFDEB1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d) Ostale naknade građanima i kućanstvima iz proračuna</w:t>
            </w:r>
            <w:r w:rsidR="0091668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(37)</w:t>
            </w:r>
          </w:p>
        </w:tc>
        <w:tc>
          <w:tcPr>
            <w:tcW w:w="1394" w:type="dxa"/>
            <w:tcBorders>
              <w:top w:val="single" w:sz="8" w:space="0" w:color="F2F2F2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D2A54BA" w14:textId="28FAA059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1.800,00</w:t>
            </w:r>
          </w:p>
        </w:tc>
        <w:tc>
          <w:tcPr>
            <w:tcW w:w="166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505D" w14:textId="48C91507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4F61A" w14:textId="2C179DD4" w:rsidR="00D35025" w:rsidRPr="00D35025" w:rsidRDefault="00303270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  <w:r w:rsidR="00D35025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D35025" w:rsidRPr="00D35025" w14:paraId="1461DD7A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62699D3" w14:textId="0323D7CC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e) Ostali rashodi</w:t>
            </w:r>
            <w:r w:rsidR="0091668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(38)</w:t>
            </w:r>
          </w:p>
        </w:tc>
        <w:tc>
          <w:tcPr>
            <w:tcW w:w="1394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1E7F2AC" w14:textId="39D1FE79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155</w:t>
            </w:r>
            <w:r w:rsidR="00D35025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5ABF" w14:textId="131E3A47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715F2" w14:textId="4340320D" w:rsidR="00D35025" w:rsidRPr="00D35025" w:rsidRDefault="00303270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  <w:r w:rsidR="00D35025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D35025" w:rsidRPr="00D35025" w14:paraId="268548B1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097A4ED7" w14:textId="3B44E32D" w:rsidR="00D35025" w:rsidRPr="00D35025" w:rsidRDefault="00D35025" w:rsidP="00D35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2. RASHODI ZA NABAVU NEFINANCIJSKE IMOVINE</w:t>
            </w:r>
            <w:r w:rsidR="0091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(4)</w:t>
            </w:r>
          </w:p>
        </w:tc>
        <w:tc>
          <w:tcPr>
            <w:tcW w:w="1394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42F4674" w14:textId="6DA1D9B8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114.450,00</w:t>
            </w:r>
          </w:p>
        </w:tc>
        <w:tc>
          <w:tcPr>
            <w:tcW w:w="16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4AE9A66" w14:textId="794CE80D" w:rsidR="00D35025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62.548,36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EEC2" w14:textId="240A37DA" w:rsidR="00D35025" w:rsidRPr="00D35025" w:rsidRDefault="00303270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</w:t>
            </w:r>
            <w:r w:rsidR="00D35025" w:rsidRPr="00D3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951BA9" w:rsidRPr="00D35025" w14:paraId="267C13FE" w14:textId="77777777" w:rsidTr="00951BA9">
        <w:trPr>
          <w:trHeight w:val="315"/>
        </w:trPr>
        <w:tc>
          <w:tcPr>
            <w:tcW w:w="6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27B53" w14:textId="4EF99447" w:rsidR="00951BA9" w:rsidRPr="00D35025" w:rsidRDefault="00951BA9" w:rsidP="00D35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a) Rashodi za nabavu proizvedene dugotrajne imovine</w:t>
            </w:r>
            <w:r w:rsidR="0091668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(42)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14DE" w14:textId="10210ADF" w:rsidR="00951BA9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114.450,00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49D6" w14:textId="0DE6F224" w:rsidR="00951BA9" w:rsidRPr="00D35025" w:rsidRDefault="00303270" w:rsidP="00D350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62.548,36</w:t>
            </w:r>
          </w:p>
        </w:tc>
        <w:tc>
          <w:tcPr>
            <w:tcW w:w="920" w:type="dxa"/>
            <w:tcBorders>
              <w:top w:val="nil"/>
              <w:left w:val="single" w:sz="8" w:space="0" w:color="F2F2F2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871A1" w14:textId="107A7284" w:rsidR="00951BA9" w:rsidRPr="00D35025" w:rsidRDefault="00303270" w:rsidP="00D35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54</w:t>
            </w:r>
            <w:r w:rsidR="00951BA9" w:rsidRPr="00D3502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</w:tbl>
    <w:p w14:paraId="0117BD56" w14:textId="77777777" w:rsidR="00D35025" w:rsidRDefault="00D35025" w:rsidP="00102FA0">
      <w:pPr>
        <w:pStyle w:val="Bezproreda"/>
        <w:ind w:firstLine="360"/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460"/>
        <w:gridCol w:w="1760"/>
        <w:gridCol w:w="526"/>
        <w:gridCol w:w="1760"/>
        <w:gridCol w:w="960"/>
      </w:tblGrid>
      <w:tr w:rsidR="009E3CEB" w:rsidRPr="009E3CEB" w14:paraId="46564C2C" w14:textId="77777777" w:rsidTr="009E3CEB">
        <w:trPr>
          <w:trHeight w:val="48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283" w14:textId="77777777" w:rsidR="009E3CEB" w:rsidRPr="003B774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77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Tablica 4. - rashodi prema izvoru financiranja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F23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FE3D51C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7CE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625D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3CEB" w:rsidRPr="009E3CEB" w14:paraId="6F3C3C90" w14:textId="77777777" w:rsidTr="009E3CEB">
        <w:trPr>
          <w:trHeight w:val="17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0B46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DB8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8441E42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1E6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249" w14:textId="77777777" w:rsidR="009E3CEB" w:rsidRPr="009E3CEB" w:rsidRDefault="009E3CEB" w:rsidP="009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3CEB" w:rsidRPr="009E3CEB" w14:paraId="642C641B" w14:textId="77777777" w:rsidTr="009E3CEB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4EC5C8A" w14:textId="77777777" w:rsidR="009E3CEB" w:rsidRPr="009E3CEB" w:rsidRDefault="009E3CEB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hr-HR"/>
              </w:rPr>
              <w:t>Izvor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AA720A1" w14:textId="4630D053" w:rsidR="009E3CEB" w:rsidRPr="009E3CEB" w:rsidRDefault="009E3CEB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Planirano u  202</w:t>
            </w:r>
            <w:r w:rsidR="0021736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4.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</w:tcPr>
          <w:p w14:paraId="689B9C20" w14:textId="77777777" w:rsidR="009E3CEB" w:rsidRPr="009E3CEB" w:rsidRDefault="009E3CEB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4C15716" w14:textId="0AD68E8B" w:rsidR="009E3CEB" w:rsidRPr="009E3CEB" w:rsidRDefault="009E3CEB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Ostvareno u 202</w:t>
            </w:r>
            <w:r w:rsidR="0021736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4</w:t>
            </w:r>
            <w:r w:rsidRPr="009E3CEB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836AA33" w14:textId="77777777" w:rsidR="009E3CEB" w:rsidRPr="009E3CEB" w:rsidRDefault="009E3CEB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hr-HR"/>
              </w:rPr>
              <w:t>Indeks</w:t>
            </w:r>
          </w:p>
        </w:tc>
      </w:tr>
      <w:tr w:rsidR="009E3CEB" w:rsidRPr="009E3CEB" w14:paraId="053B04DE" w14:textId="77777777" w:rsidTr="009E3CEB">
        <w:trPr>
          <w:trHeight w:val="315"/>
        </w:trPr>
        <w:tc>
          <w:tcPr>
            <w:tcW w:w="546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6094A22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Opći prihodi i primici - proračun Grada Zagreba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D6DCA85" w14:textId="5A884C6E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399.700,00</w:t>
            </w:r>
          </w:p>
        </w:tc>
        <w:tc>
          <w:tcPr>
            <w:tcW w:w="526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</w:tcPr>
          <w:p w14:paraId="77FF5E27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ACBF887" w14:textId="4F8235D7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301.915,31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A1E59" w14:textId="5E98456D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75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E3CEB" w:rsidRPr="009E3CEB" w14:paraId="2407D8A0" w14:textId="77777777" w:rsidTr="009E3CEB">
        <w:trPr>
          <w:trHeight w:val="315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588" w14:textId="4BBE4ABE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Vlastiti  prihodi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5E1E4AD" w14:textId="5FD47C42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40.800,00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EAB9E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BDAC675" w14:textId="6681072B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32.765,04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4C4D" w14:textId="56E8A14F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80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E3CEB" w:rsidRPr="009E3CEB" w14:paraId="5701B90F" w14:textId="77777777" w:rsidTr="009E3CEB">
        <w:trPr>
          <w:trHeight w:val="315"/>
        </w:trPr>
        <w:tc>
          <w:tcPr>
            <w:tcW w:w="5460" w:type="dxa"/>
            <w:tcBorders>
              <w:top w:val="single" w:sz="8" w:space="0" w:color="F2F2F2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43DF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za posebne namjene 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2A4EB960" w14:textId="0075A7A9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2.100,00</w:t>
            </w:r>
          </w:p>
        </w:tc>
        <w:tc>
          <w:tcPr>
            <w:tcW w:w="526" w:type="dxa"/>
            <w:tcBorders>
              <w:top w:val="single" w:sz="8" w:space="0" w:color="F2F2F2"/>
              <w:left w:val="nil"/>
              <w:bottom w:val="single" w:sz="4" w:space="0" w:color="auto"/>
              <w:right w:val="nil"/>
            </w:tcBorders>
          </w:tcPr>
          <w:p w14:paraId="292A58EA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58A1D5F5" w14:textId="76AC64F7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2.100,00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A06BF" w14:textId="4290001C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E3CEB" w:rsidRPr="009E3CEB" w14:paraId="0C9A31B1" w14:textId="77777777" w:rsidTr="009E3CEB">
        <w:trPr>
          <w:trHeight w:val="315"/>
        </w:trPr>
        <w:tc>
          <w:tcPr>
            <w:tcW w:w="5460" w:type="dxa"/>
            <w:tcBorders>
              <w:top w:val="single" w:sz="8" w:space="0" w:color="F2F2F2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EF6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Pomoći - proračun MZO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A531D64" w14:textId="3B2D72B3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2.428.155,00</w:t>
            </w:r>
          </w:p>
        </w:tc>
        <w:tc>
          <w:tcPr>
            <w:tcW w:w="526" w:type="dxa"/>
            <w:tcBorders>
              <w:top w:val="single" w:sz="8" w:space="0" w:color="F2F2F2"/>
              <w:left w:val="nil"/>
              <w:bottom w:val="single" w:sz="4" w:space="0" w:color="auto"/>
              <w:right w:val="nil"/>
            </w:tcBorders>
          </w:tcPr>
          <w:p w14:paraId="719B6010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4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70C144BD" w14:textId="6542F805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2.320.189,14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6FB79" w14:textId="06AAD9DC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95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E3CEB" w:rsidRPr="009E3CEB" w14:paraId="31180461" w14:textId="77777777" w:rsidTr="009E3CEB">
        <w:trPr>
          <w:trHeight w:val="315"/>
        </w:trPr>
        <w:tc>
          <w:tcPr>
            <w:tcW w:w="546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27119E3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Donacije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17FAD0FD" w14:textId="50AAC557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14.500,00</w:t>
            </w:r>
          </w:p>
        </w:tc>
        <w:tc>
          <w:tcPr>
            <w:tcW w:w="526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</w:tcPr>
          <w:p w14:paraId="0C30443E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2B6B932" w14:textId="6E1F10F2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13.513,13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6F42" w14:textId="7CE51D2A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93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E3CEB" w:rsidRPr="009E3CEB" w14:paraId="660C2C49" w14:textId="77777777" w:rsidTr="009E3CEB">
        <w:trPr>
          <w:trHeight w:val="315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912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Tekuće pomoći temeljem prijenosa EU sredstava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456A641F" w14:textId="40499873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D8FD607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3212848A" w14:textId="021AFFF5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78.278,40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6C3E" w14:textId="65A5365C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90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  <w:tr w:rsidR="009E3CEB" w:rsidRPr="009E3CEB" w14:paraId="2D2E6047" w14:textId="77777777" w:rsidTr="009E3CEB">
        <w:trPr>
          <w:trHeight w:val="315"/>
        </w:trPr>
        <w:tc>
          <w:tcPr>
            <w:tcW w:w="54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BDB56" w14:textId="77777777" w:rsidR="009E3CEB" w:rsidRPr="009E3CEB" w:rsidRDefault="009E3CEB" w:rsidP="009E3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ihodi od prodaje ili zamjene nefinancijske</w:t>
            </w: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Imovine</w:t>
            </w: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auto"/>
            <w:noWrap/>
            <w:vAlign w:val="bottom"/>
            <w:hideMark/>
          </w:tcPr>
          <w:p w14:paraId="6DEA64E1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50,00</w:t>
            </w:r>
          </w:p>
        </w:tc>
        <w:tc>
          <w:tcPr>
            <w:tcW w:w="526" w:type="dxa"/>
            <w:tcBorders>
              <w:top w:val="single" w:sz="8" w:space="0" w:color="F2F2F2"/>
              <w:left w:val="nil"/>
              <w:bottom w:val="single" w:sz="8" w:space="0" w:color="auto"/>
              <w:right w:val="nil"/>
            </w:tcBorders>
          </w:tcPr>
          <w:p w14:paraId="542D08A5" w14:textId="77777777" w:rsidR="009E3CEB" w:rsidRPr="009E3CEB" w:rsidRDefault="009E3CEB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60" w:type="dxa"/>
            <w:tcBorders>
              <w:top w:val="single" w:sz="8" w:space="0" w:color="F2F2F2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73FD" w14:textId="2910B349" w:rsidR="009E3CEB" w:rsidRPr="009E3CEB" w:rsidRDefault="00217367" w:rsidP="009E3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B86C7" w14:textId="18B6D6D7" w:rsidR="009E3CEB" w:rsidRPr="009E3CEB" w:rsidRDefault="00217367" w:rsidP="009E3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9E3CEB" w:rsidRPr="009E3CE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</w:tr>
    </w:tbl>
    <w:p w14:paraId="6730516B" w14:textId="77777777" w:rsidR="00C41292" w:rsidRDefault="00C41292" w:rsidP="00102FA0">
      <w:pPr>
        <w:pStyle w:val="Bezproreda"/>
        <w:ind w:firstLine="360"/>
      </w:pPr>
    </w:p>
    <w:p w14:paraId="43B0569B" w14:textId="77777777" w:rsidR="00FD5DE7" w:rsidRDefault="00FD5DE7" w:rsidP="00FD5DE7">
      <w:pPr>
        <w:pStyle w:val="Bezproreda"/>
      </w:pPr>
      <w:r>
        <w:t xml:space="preserve">      Izvještaji računa financiranja prema ekonomskoj klasifikaciji i izvorima financiranja popunjeni su sa nulama,</w:t>
      </w:r>
      <w:r w:rsidR="00951BA9">
        <w:t xml:space="preserve"> </w:t>
      </w:r>
      <w:r>
        <w:t>jer Škola nema planirane niti ostvaruje primitke od financijske imovine i zaduživanja. Isto tako nema planirane niti realizirane izdatke za financijsku imovinu i otplate zajmova.</w:t>
      </w:r>
    </w:p>
    <w:p w14:paraId="5EF73EE4" w14:textId="23F31242" w:rsidR="00345C46" w:rsidRDefault="00951BA9" w:rsidP="00892F33">
      <w:pPr>
        <w:pStyle w:val="Bezproreda"/>
      </w:pPr>
      <w:r>
        <w:t xml:space="preserve">       Škola nema korištena sredstva fondova EU.</w:t>
      </w:r>
    </w:p>
    <w:p w14:paraId="3F103A7B" w14:textId="77777777" w:rsidR="003B774B" w:rsidRDefault="003B774B" w:rsidP="00892F33">
      <w:pPr>
        <w:pStyle w:val="Bezproreda"/>
      </w:pPr>
    </w:p>
    <w:p w14:paraId="4E348EB6" w14:textId="77777777" w:rsidR="00951BA9" w:rsidRDefault="00951BA9" w:rsidP="00892F33">
      <w:pPr>
        <w:pStyle w:val="Bezproreda"/>
      </w:pPr>
    </w:p>
    <w:p w14:paraId="5153CCCF" w14:textId="77777777" w:rsidR="00B71C77" w:rsidRPr="003B774B" w:rsidRDefault="00345C46" w:rsidP="00345C46">
      <w:pPr>
        <w:pStyle w:val="Bezproreda"/>
        <w:numPr>
          <w:ilvl w:val="0"/>
          <w:numId w:val="6"/>
        </w:numPr>
        <w:rPr>
          <w:b/>
          <w:bCs/>
        </w:rPr>
      </w:pPr>
      <w:r w:rsidRPr="003B774B">
        <w:rPr>
          <w:b/>
          <w:bCs/>
        </w:rPr>
        <w:t>OBRAZLOŽENJE POSEBNOG DIJELA IZVJEŠTAJA O IZVRŠENJU FINANCIJSKOG PLANA</w:t>
      </w:r>
    </w:p>
    <w:p w14:paraId="16E5023C" w14:textId="77777777" w:rsidR="00345C46" w:rsidRDefault="00345C46" w:rsidP="00DA103E">
      <w:pPr>
        <w:pStyle w:val="Bezproreda"/>
      </w:pPr>
    </w:p>
    <w:p w14:paraId="6A9373E3" w14:textId="7383DE0C" w:rsidR="004172D4" w:rsidRDefault="00C31046" w:rsidP="006E06C3">
      <w:pPr>
        <w:pStyle w:val="Bezproreda"/>
        <w:ind w:firstLine="360"/>
      </w:pPr>
      <w:r>
        <w:t xml:space="preserve">Elektrotehnička škola  pripada u program djelatnosti srednjeg školstva i učeničkih domova koji se provodi kroz niz aktivnosti i projekta.  Cilj programa je </w:t>
      </w:r>
      <w:proofErr w:type="spellStart"/>
      <w:r>
        <w:t>srednješkolsko</w:t>
      </w:r>
      <w:proofErr w:type="spellEnd"/>
      <w:r>
        <w:t xml:space="preserve"> obrazovanje učenika s posebnim ciljem strukovnog obrazovanja tehničkog smjera kojeg škola uspješno ostvaruje. </w:t>
      </w:r>
      <w:r w:rsidR="0041360B">
        <w:t xml:space="preserve"> Od ukupno upisanih </w:t>
      </w:r>
      <w:r w:rsidR="00217367">
        <w:t>654</w:t>
      </w:r>
      <w:r w:rsidR="00801B0F">
        <w:t xml:space="preserve"> učenika na početku nastavne godine </w:t>
      </w:r>
      <w:r w:rsidR="00217367">
        <w:t xml:space="preserve">2023./2024. </w:t>
      </w:r>
      <w:r w:rsidR="00801B0F">
        <w:t xml:space="preserve">u sve </w:t>
      </w:r>
      <w:r w:rsidR="0041360B">
        <w:t xml:space="preserve">četiri godine školovanja njih </w:t>
      </w:r>
      <w:r w:rsidR="00217367">
        <w:t>643</w:t>
      </w:r>
      <w:r w:rsidR="00801B0F">
        <w:t xml:space="preserve"> uspješno </w:t>
      </w:r>
      <w:r w:rsidR="0041360B">
        <w:t xml:space="preserve">su </w:t>
      </w:r>
      <w:r w:rsidR="00801B0F">
        <w:t>završi</w:t>
      </w:r>
      <w:r w:rsidR="0041360B">
        <w:t>li</w:t>
      </w:r>
      <w:r w:rsidR="00801B0F">
        <w:t xml:space="preserve"> upisani razred.</w:t>
      </w:r>
    </w:p>
    <w:p w14:paraId="35D1BF3B" w14:textId="77777777" w:rsidR="006E06C3" w:rsidRDefault="006E06C3" w:rsidP="00DA103E">
      <w:pPr>
        <w:pStyle w:val="Bezproreda"/>
      </w:pPr>
    </w:p>
    <w:p w14:paraId="4AA20643" w14:textId="77777777" w:rsidR="006E06C3" w:rsidRDefault="006E06C3" w:rsidP="00EB3346">
      <w:pPr>
        <w:pStyle w:val="Bezproreda"/>
        <w:ind w:firstLine="360"/>
      </w:pPr>
      <w:r>
        <w:t xml:space="preserve">Redovna djelatnost financirana iz sredstava nadležnog proračuna </w:t>
      </w:r>
      <w:r w:rsidR="00EB3346">
        <w:t>izvor 1</w:t>
      </w:r>
      <w:r>
        <w:t xml:space="preserve"> opći prihodi i primici</w:t>
      </w:r>
      <w:r w:rsidR="00EB3346">
        <w:t>, a na drugoj razini 1.1 opći prihodi i primici i 1.2 opći prihodi i primici – decentralizirana sredstva.</w:t>
      </w:r>
    </w:p>
    <w:p w14:paraId="44D70B49" w14:textId="626E204F" w:rsidR="006E06C3" w:rsidRDefault="00EB3346" w:rsidP="00DA103E">
      <w:pPr>
        <w:pStyle w:val="Bezproreda"/>
      </w:pPr>
      <w:r>
        <w:t xml:space="preserve">Iz izvora 1.1 opći prihodi i primici nadležni proračun iz svojih sredstava financira rashode za koja nisu dostatna decentralizirana sredstva te rashode za rad Školskog odbora, </w:t>
      </w:r>
      <w:r w:rsidR="00217367">
        <w:t xml:space="preserve">materijalne troškove, </w:t>
      </w:r>
      <w:r w:rsidR="00D22362">
        <w:t>pomoćnika u nastavi</w:t>
      </w:r>
      <w:r w:rsidR="00217367">
        <w:t>-kojega prošle školske godine nismo imali</w:t>
      </w:r>
      <w:r w:rsidR="00D22362">
        <w:t>, nabavu udžbenika za učenike, školu i zajednicu, usluge tekućeg i investicijskog održavanja, nabavu dugotrajne imovine</w:t>
      </w:r>
      <w:r w:rsidR="00217367">
        <w:t>,</w:t>
      </w:r>
      <w:r w:rsidR="00D22362">
        <w:t xml:space="preserve"> rad stručnjaka za tehničku podršku i besplatne menstrualne potrepštine.</w:t>
      </w:r>
      <w:r w:rsidR="00EF08CE">
        <w:t xml:space="preserve"> </w:t>
      </w:r>
    </w:p>
    <w:p w14:paraId="08D8CC49" w14:textId="77777777" w:rsidR="00D22362" w:rsidRDefault="00D22362" w:rsidP="00DA103E">
      <w:pPr>
        <w:pStyle w:val="Bezproreda"/>
      </w:pPr>
    </w:p>
    <w:p w14:paraId="0021BB0E" w14:textId="77777777" w:rsidR="00D22362" w:rsidRDefault="00D22362" w:rsidP="00DA103E">
      <w:pPr>
        <w:pStyle w:val="Bezproreda"/>
      </w:pPr>
      <w:r>
        <w:t>Izvannastavne i ostale aktivnosti pokazatelj uspješnosti</w:t>
      </w:r>
    </w:p>
    <w:p w14:paraId="2911B3D9" w14:textId="77777777" w:rsidR="00801B0F" w:rsidRDefault="00D22362" w:rsidP="00DA103E">
      <w:pPr>
        <w:pStyle w:val="Bezproreda"/>
      </w:pPr>
      <w:r>
        <w:t xml:space="preserve">Učenici Škole sudjeluju </w:t>
      </w:r>
      <w:r w:rsidR="00FB47BB">
        <w:t xml:space="preserve">na raznim natjecanjima </w:t>
      </w:r>
      <w:r w:rsidR="00BF7C41">
        <w:t>kao što su</w:t>
      </w:r>
      <w:r w:rsidR="00FB47BB">
        <w:t xml:space="preserve"> </w:t>
      </w:r>
      <w:proofErr w:type="spellStart"/>
      <w:r w:rsidR="00FB47BB">
        <w:t>WorldSkills</w:t>
      </w:r>
      <w:proofErr w:type="spellEnd"/>
      <w:r w:rsidR="00FB47BB">
        <w:t xml:space="preserve"> Croatia</w:t>
      </w:r>
      <w:r w:rsidR="00BF7C41">
        <w:t xml:space="preserve">, natjecanje iz hrvatskog jezika, engleskog jezika,  matematike i informatike </w:t>
      </w:r>
      <w:r w:rsidR="00FB47BB">
        <w:t>za koje pokazatelj</w:t>
      </w:r>
      <w:r w:rsidR="00BF7C41">
        <w:t>e</w:t>
      </w:r>
      <w:r w:rsidR="00FB47BB">
        <w:t xml:space="preserve"> uspješnosti dajemo u tabeli:</w:t>
      </w:r>
    </w:p>
    <w:p w14:paraId="272D424F" w14:textId="77777777" w:rsidR="00FB47BB" w:rsidRDefault="00FB47BB" w:rsidP="00DA103E">
      <w:pPr>
        <w:pStyle w:val="Bezproreda"/>
      </w:pPr>
    </w:p>
    <w:tbl>
      <w:tblPr>
        <w:tblStyle w:val="Reetkatablice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993"/>
        <w:gridCol w:w="1275"/>
        <w:gridCol w:w="1276"/>
        <w:gridCol w:w="1276"/>
        <w:gridCol w:w="1417"/>
        <w:gridCol w:w="993"/>
      </w:tblGrid>
      <w:tr w:rsidR="00BF7C41" w14:paraId="57767273" w14:textId="77777777" w:rsidTr="00BF7C41">
        <w:tc>
          <w:tcPr>
            <w:tcW w:w="1242" w:type="dxa"/>
          </w:tcPr>
          <w:p w14:paraId="0E559496" w14:textId="77777777" w:rsidR="00BF7C41" w:rsidRDefault="00BF7C41" w:rsidP="00DA103E">
            <w:pPr>
              <w:pStyle w:val="Bezproreda"/>
            </w:pPr>
            <w:r>
              <w:t>Pokazatelj rezultata</w:t>
            </w:r>
          </w:p>
        </w:tc>
        <w:tc>
          <w:tcPr>
            <w:tcW w:w="2268" w:type="dxa"/>
          </w:tcPr>
          <w:p w14:paraId="043207B3" w14:textId="77777777" w:rsidR="00BF7C41" w:rsidRDefault="00BF7C41" w:rsidP="00DA103E">
            <w:pPr>
              <w:pStyle w:val="Bezproreda"/>
            </w:pPr>
            <w:r>
              <w:t>Definicija pokazatelja</w:t>
            </w:r>
          </w:p>
        </w:tc>
        <w:tc>
          <w:tcPr>
            <w:tcW w:w="993" w:type="dxa"/>
          </w:tcPr>
          <w:p w14:paraId="0E5E2344" w14:textId="77777777" w:rsidR="00BF7C41" w:rsidRDefault="00BF7C41" w:rsidP="00EB3DB7">
            <w:pPr>
              <w:pStyle w:val="Bezproreda"/>
            </w:pPr>
            <w:r>
              <w:t>Jedinica mjere</w:t>
            </w:r>
          </w:p>
        </w:tc>
        <w:tc>
          <w:tcPr>
            <w:tcW w:w="1275" w:type="dxa"/>
          </w:tcPr>
          <w:p w14:paraId="4C7B94E2" w14:textId="77777777" w:rsidR="00BF7C41" w:rsidRDefault="00BF7C41" w:rsidP="00DA103E">
            <w:pPr>
              <w:pStyle w:val="Bezproreda"/>
            </w:pPr>
            <w:r>
              <w:t>Školsko natjecanje</w:t>
            </w:r>
          </w:p>
        </w:tc>
        <w:tc>
          <w:tcPr>
            <w:tcW w:w="1276" w:type="dxa"/>
          </w:tcPr>
          <w:p w14:paraId="3C0B903F" w14:textId="77777777" w:rsidR="00BF7C41" w:rsidRDefault="00BF7C41" w:rsidP="00DA103E">
            <w:pPr>
              <w:pStyle w:val="Bezproreda"/>
            </w:pPr>
            <w:r>
              <w:t>Županijsko natjecanje/gradsko natjecanje</w:t>
            </w:r>
          </w:p>
        </w:tc>
        <w:tc>
          <w:tcPr>
            <w:tcW w:w="1276" w:type="dxa"/>
          </w:tcPr>
          <w:p w14:paraId="22A99B2D" w14:textId="77777777" w:rsidR="00BF7C41" w:rsidRDefault="00BF7C41" w:rsidP="00DA103E">
            <w:pPr>
              <w:pStyle w:val="Bezproreda"/>
            </w:pPr>
            <w:r>
              <w:t>Državno natjecanje</w:t>
            </w:r>
          </w:p>
        </w:tc>
        <w:tc>
          <w:tcPr>
            <w:tcW w:w="1417" w:type="dxa"/>
          </w:tcPr>
          <w:p w14:paraId="5FB2E277" w14:textId="77777777" w:rsidR="00BF7C41" w:rsidRDefault="00BF7C41" w:rsidP="00DA103E">
            <w:pPr>
              <w:pStyle w:val="Bezproreda"/>
            </w:pPr>
            <w:r>
              <w:t xml:space="preserve">Osvojeno mjesto na državnom natjecanju </w:t>
            </w:r>
          </w:p>
        </w:tc>
        <w:tc>
          <w:tcPr>
            <w:tcW w:w="993" w:type="dxa"/>
          </w:tcPr>
          <w:p w14:paraId="6CA6D641" w14:textId="77777777" w:rsidR="00BF7C41" w:rsidRDefault="00BF7C41" w:rsidP="00DA103E">
            <w:pPr>
              <w:pStyle w:val="Bezproreda"/>
            </w:pPr>
            <w:r>
              <w:t xml:space="preserve">Nagrada Profesor Baltazar </w:t>
            </w:r>
          </w:p>
        </w:tc>
      </w:tr>
      <w:tr w:rsidR="00BF7C41" w14:paraId="1C14A669" w14:textId="77777777" w:rsidTr="00BF7C41">
        <w:tc>
          <w:tcPr>
            <w:tcW w:w="1242" w:type="dxa"/>
          </w:tcPr>
          <w:p w14:paraId="761182E9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Program natjecanja</w:t>
            </w:r>
          </w:p>
        </w:tc>
        <w:tc>
          <w:tcPr>
            <w:tcW w:w="2268" w:type="dxa"/>
          </w:tcPr>
          <w:p w14:paraId="18D81C62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 xml:space="preserve">Natjecanje </w:t>
            </w:r>
            <w:proofErr w:type="spellStart"/>
            <w:r w:rsidRPr="009E3CEB">
              <w:rPr>
                <w:sz w:val="20"/>
                <w:szCs w:val="20"/>
              </w:rPr>
              <w:t>WorlSkills</w:t>
            </w:r>
            <w:proofErr w:type="spellEnd"/>
            <w:r w:rsidRPr="009E3CEB">
              <w:rPr>
                <w:sz w:val="20"/>
                <w:szCs w:val="20"/>
              </w:rPr>
              <w:t xml:space="preserve"> Croatia</w:t>
            </w:r>
          </w:p>
        </w:tc>
        <w:tc>
          <w:tcPr>
            <w:tcW w:w="993" w:type="dxa"/>
          </w:tcPr>
          <w:p w14:paraId="35C59945" w14:textId="77777777" w:rsidR="00BF7C41" w:rsidRPr="009E3CEB" w:rsidRDefault="00BF7C41" w:rsidP="00EB3DB7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Broj učenika</w:t>
            </w:r>
          </w:p>
        </w:tc>
        <w:tc>
          <w:tcPr>
            <w:tcW w:w="1275" w:type="dxa"/>
          </w:tcPr>
          <w:p w14:paraId="7895B259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5 učenika</w:t>
            </w:r>
          </w:p>
        </w:tc>
        <w:tc>
          <w:tcPr>
            <w:tcW w:w="1276" w:type="dxa"/>
          </w:tcPr>
          <w:p w14:paraId="21E7E8B6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5 učenika</w:t>
            </w:r>
          </w:p>
        </w:tc>
        <w:tc>
          <w:tcPr>
            <w:tcW w:w="1276" w:type="dxa"/>
          </w:tcPr>
          <w:p w14:paraId="58D742A4" w14:textId="0510D066" w:rsidR="00BF7C41" w:rsidRPr="009E3CEB" w:rsidRDefault="00217367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7C41" w:rsidRPr="009E3CEB">
              <w:rPr>
                <w:sz w:val="20"/>
                <w:szCs w:val="20"/>
              </w:rPr>
              <w:t xml:space="preserve"> učenik</w:t>
            </w:r>
          </w:p>
        </w:tc>
        <w:tc>
          <w:tcPr>
            <w:tcW w:w="1417" w:type="dxa"/>
          </w:tcPr>
          <w:p w14:paraId="55247414" w14:textId="22CC91AE" w:rsidR="00BF7C41" w:rsidRPr="009E3CEB" w:rsidRDefault="006F666F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7C41" w:rsidRPr="009E3CEB">
              <w:rPr>
                <w:sz w:val="20"/>
                <w:szCs w:val="20"/>
              </w:rPr>
              <w:t>.mjesto</w:t>
            </w:r>
          </w:p>
        </w:tc>
        <w:tc>
          <w:tcPr>
            <w:tcW w:w="993" w:type="dxa"/>
          </w:tcPr>
          <w:p w14:paraId="72860FAF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DA</w:t>
            </w:r>
          </w:p>
        </w:tc>
      </w:tr>
      <w:tr w:rsidR="00BF7C41" w14:paraId="4458C108" w14:textId="77777777" w:rsidTr="00BF7C41">
        <w:tc>
          <w:tcPr>
            <w:tcW w:w="1242" w:type="dxa"/>
          </w:tcPr>
          <w:p w14:paraId="5F40CB1B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Program natjecanja</w:t>
            </w:r>
          </w:p>
        </w:tc>
        <w:tc>
          <w:tcPr>
            <w:tcW w:w="2268" w:type="dxa"/>
          </w:tcPr>
          <w:p w14:paraId="53BCB727" w14:textId="77777777" w:rsidR="00BF7C41" w:rsidRPr="009E3CEB" w:rsidRDefault="00BF7C41" w:rsidP="00461720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Engleski jezik B razina</w:t>
            </w:r>
          </w:p>
        </w:tc>
        <w:tc>
          <w:tcPr>
            <w:tcW w:w="993" w:type="dxa"/>
          </w:tcPr>
          <w:p w14:paraId="09CB4609" w14:textId="77777777" w:rsidR="00BF7C41" w:rsidRPr="009E3CEB" w:rsidRDefault="00BF7C41" w:rsidP="00EB3DB7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Broj učenika</w:t>
            </w:r>
          </w:p>
        </w:tc>
        <w:tc>
          <w:tcPr>
            <w:tcW w:w="1275" w:type="dxa"/>
          </w:tcPr>
          <w:p w14:paraId="564A8C34" w14:textId="59334080" w:rsidR="00BF7C41" w:rsidRPr="009E3CEB" w:rsidRDefault="006F666F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F7C41" w:rsidRPr="009E3CEB">
              <w:rPr>
                <w:sz w:val="20"/>
                <w:szCs w:val="20"/>
              </w:rPr>
              <w:t xml:space="preserve"> učenika</w:t>
            </w:r>
          </w:p>
        </w:tc>
        <w:tc>
          <w:tcPr>
            <w:tcW w:w="1276" w:type="dxa"/>
          </w:tcPr>
          <w:p w14:paraId="04F184EE" w14:textId="561986E6" w:rsidR="00BF7C41" w:rsidRPr="009E3CEB" w:rsidRDefault="006F666F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085505D" w14:textId="7117803D" w:rsidR="00BF7C41" w:rsidRPr="009E3CEB" w:rsidRDefault="006F666F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7C41" w:rsidRPr="009E3CEB">
              <w:rPr>
                <w:sz w:val="20"/>
                <w:szCs w:val="20"/>
              </w:rPr>
              <w:t xml:space="preserve"> učenik</w:t>
            </w:r>
          </w:p>
        </w:tc>
        <w:tc>
          <w:tcPr>
            <w:tcW w:w="1417" w:type="dxa"/>
          </w:tcPr>
          <w:p w14:paraId="5568D893" w14:textId="08A798BF" w:rsidR="00BF7C41" w:rsidRPr="009E3CEB" w:rsidRDefault="006F666F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7C41" w:rsidRPr="009E3CEB">
              <w:rPr>
                <w:sz w:val="20"/>
                <w:szCs w:val="20"/>
              </w:rPr>
              <w:t>.mjesto</w:t>
            </w:r>
          </w:p>
        </w:tc>
        <w:tc>
          <w:tcPr>
            <w:tcW w:w="993" w:type="dxa"/>
          </w:tcPr>
          <w:p w14:paraId="3249629C" w14:textId="77777777" w:rsidR="00BF7C41" w:rsidRPr="009E3CEB" w:rsidRDefault="00BF7C41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DA</w:t>
            </w:r>
          </w:p>
        </w:tc>
      </w:tr>
      <w:tr w:rsidR="004A1746" w14:paraId="7B9B3E0F" w14:textId="77777777" w:rsidTr="00BF7C41">
        <w:tc>
          <w:tcPr>
            <w:tcW w:w="1242" w:type="dxa"/>
          </w:tcPr>
          <w:p w14:paraId="3A204155" w14:textId="77777777" w:rsidR="004A1746" w:rsidRPr="009E3CEB" w:rsidRDefault="004A1746" w:rsidP="00EB3DB7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Program natjecanja</w:t>
            </w:r>
          </w:p>
        </w:tc>
        <w:tc>
          <w:tcPr>
            <w:tcW w:w="2268" w:type="dxa"/>
          </w:tcPr>
          <w:p w14:paraId="02772B54" w14:textId="77777777" w:rsidR="004A1746" w:rsidRPr="009E3CEB" w:rsidRDefault="004A1746" w:rsidP="00461720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Matematika</w:t>
            </w:r>
          </w:p>
        </w:tc>
        <w:tc>
          <w:tcPr>
            <w:tcW w:w="993" w:type="dxa"/>
          </w:tcPr>
          <w:p w14:paraId="30C5FA00" w14:textId="77777777" w:rsidR="004A1746" w:rsidRPr="009E3CEB" w:rsidRDefault="004A1746" w:rsidP="00EB3DB7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Broj učenika</w:t>
            </w:r>
          </w:p>
        </w:tc>
        <w:tc>
          <w:tcPr>
            <w:tcW w:w="1275" w:type="dxa"/>
          </w:tcPr>
          <w:p w14:paraId="3614AC97" w14:textId="6FECD6EE" w:rsidR="004A1746" w:rsidRPr="009E3CEB" w:rsidRDefault="006F666F" w:rsidP="00DA103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A1746" w:rsidRPr="009E3CEB">
              <w:rPr>
                <w:sz w:val="20"/>
                <w:szCs w:val="20"/>
              </w:rPr>
              <w:t xml:space="preserve"> učenika</w:t>
            </w:r>
          </w:p>
        </w:tc>
        <w:tc>
          <w:tcPr>
            <w:tcW w:w="1276" w:type="dxa"/>
          </w:tcPr>
          <w:p w14:paraId="522DFE7C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2 učenika</w:t>
            </w:r>
          </w:p>
        </w:tc>
        <w:tc>
          <w:tcPr>
            <w:tcW w:w="1276" w:type="dxa"/>
          </w:tcPr>
          <w:p w14:paraId="4988CEE3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075AD43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D84B22A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NE</w:t>
            </w:r>
          </w:p>
          <w:p w14:paraId="46B3D265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</w:p>
        </w:tc>
      </w:tr>
      <w:tr w:rsidR="004A1746" w14:paraId="67B2F048" w14:textId="77777777" w:rsidTr="00BF7C41">
        <w:tc>
          <w:tcPr>
            <w:tcW w:w="1242" w:type="dxa"/>
          </w:tcPr>
          <w:p w14:paraId="0DA8CFB2" w14:textId="77777777" w:rsidR="004A1746" w:rsidRPr="009E3CEB" w:rsidRDefault="004A1746" w:rsidP="00EB3DB7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Program natjecanja</w:t>
            </w:r>
          </w:p>
        </w:tc>
        <w:tc>
          <w:tcPr>
            <w:tcW w:w="2268" w:type="dxa"/>
          </w:tcPr>
          <w:p w14:paraId="20349816" w14:textId="77777777" w:rsidR="004A1746" w:rsidRPr="009E3CEB" w:rsidRDefault="004A1746" w:rsidP="00461720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INFOKUP - algoritmi</w:t>
            </w:r>
          </w:p>
        </w:tc>
        <w:tc>
          <w:tcPr>
            <w:tcW w:w="993" w:type="dxa"/>
          </w:tcPr>
          <w:p w14:paraId="1CBB5538" w14:textId="77777777" w:rsidR="004A1746" w:rsidRPr="009E3CEB" w:rsidRDefault="004A1746" w:rsidP="00EB3DB7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Broj učenika</w:t>
            </w:r>
          </w:p>
        </w:tc>
        <w:tc>
          <w:tcPr>
            <w:tcW w:w="1275" w:type="dxa"/>
          </w:tcPr>
          <w:p w14:paraId="59C0F4EC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A80E8AF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6B7172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AEBDD29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59030F4" w14:textId="77777777" w:rsidR="004A1746" w:rsidRPr="009E3CEB" w:rsidRDefault="004A1746" w:rsidP="00DA103E">
            <w:pPr>
              <w:pStyle w:val="Bezproreda"/>
              <w:rPr>
                <w:sz w:val="20"/>
                <w:szCs w:val="20"/>
              </w:rPr>
            </w:pPr>
            <w:r w:rsidRPr="009E3CEB">
              <w:rPr>
                <w:sz w:val="20"/>
                <w:szCs w:val="20"/>
              </w:rPr>
              <w:t>NE</w:t>
            </w:r>
          </w:p>
        </w:tc>
      </w:tr>
    </w:tbl>
    <w:p w14:paraId="56B8ECB8" w14:textId="77777777" w:rsidR="00801B0F" w:rsidRDefault="00801B0F" w:rsidP="00DA103E">
      <w:pPr>
        <w:pStyle w:val="Bezproreda"/>
      </w:pPr>
    </w:p>
    <w:p w14:paraId="2E7BC302" w14:textId="2D89E575" w:rsidR="00B02E0C" w:rsidRDefault="003578FD" w:rsidP="00DA103E">
      <w:pPr>
        <w:pStyle w:val="Bezproreda"/>
      </w:pPr>
      <w:r>
        <w:t>Aktivnost</w:t>
      </w:r>
      <w:r w:rsidR="00222D59">
        <w:t xml:space="preserve"> nabava udžbenika </w:t>
      </w:r>
      <w:r>
        <w:t>–</w:t>
      </w:r>
      <w:r w:rsidR="00B02E0C">
        <w:t xml:space="preserve"> na kraju školske godine učenici vraćaju udžbenike za sljedeće generacije. Vrši se procjena stanja udžbenika te se naručuje smo onoliko udžbenika </w:t>
      </w:r>
      <w:r w:rsidR="00FC1082">
        <w:t xml:space="preserve">koliko </w:t>
      </w:r>
      <w:r w:rsidR="00B02E0C">
        <w:t>nedostaje prema broju učenika upisanih u tu školsku godinu</w:t>
      </w:r>
      <w:r w:rsidR="006F666F">
        <w:t xml:space="preserve"> za školsku godinu 2024./2025. grad je doznačio i potrošeno je 37.485,62€.</w:t>
      </w:r>
    </w:p>
    <w:p w14:paraId="1E348DA7" w14:textId="77777777" w:rsidR="006F666F" w:rsidRDefault="006F666F" w:rsidP="00DA103E">
      <w:pPr>
        <w:pStyle w:val="Bezproreda"/>
      </w:pPr>
    </w:p>
    <w:p w14:paraId="5CF4FA7E" w14:textId="2595C558" w:rsidR="006E06C3" w:rsidRDefault="006E06C3" w:rsidP="00DA103E">
      <w:pPr>
        <w:pStyle w:val="Bezproreda"/>
      </w:pPr>
      <w:r>
        <w:t>Aktivnost građanski odgoj odvija se</w:t>
      </w:r>
      <w:r w:rsidR="00B02E0C">
        <w:t xml:space="preserve"> prema planu, u </w:t>
      </w:r>
      <w:proofErr w:type="spellStart"/>
      <w:r w:rsidR="00B02E0C">
        <w:t>šk.god</w:t>
      </w:r>
      <w:proofErr w:type="spellEnd"/>
      <w:r w:rsidR="00B02E0C">
        <w:t>. 202</w:t>
      </w:r>
      <w:r w:rsidR="006F666F">
        <w:t>4.</w:t>
      </w:r>
      <w:r w:rsidR="00B02E0C">
        <w:t>/2</w:t>
      </w:r>
      <w:r w:rsidR="006F666F">
        <w:t>5</w:t>
      </w:r>
      <w:r w:rsidR="00B02E0C">
        <w:t>. upisan</w:t>
      </w:r>
      <w:r w:rsidR="006F666F">
        <w:t>e</w:t>
      </w:r>
      <w:r>
        <w:t xml:space="preserve"> </w:t>
      </w:r>
      <w:r w:rsidR="006F666F">
        <w:t>su</w:t>
      </w:r>
      <w:r w:rsidR="00B02E0C">
        <w:t xml:space="preserve"> </w:t>
      </w:r>
      <w:r w:rsidR="006F666F">
        <w:t>dvije</w:t>
      </w:r>
      <w:r w:rsidR="00B02E0C">
        <w:t xml:space="preserve"> grupa učenika koju</w:t>
      </w:r>
      <w:r>
        <w:t xml:space="preserve"> vod</w:t>
      </w:r>
      <w:r w:rsidR="006F666F">
        <w:t xml:space="preserve">e </w:t>
      </w:r>
      <w:r w:rsidR="00B02E0C">
        <w:t>pedagog škole</w:t>
      </w:r>
      <w:r w:rsidR="006F666F">
        <w:t>, i profesorica politike i gospodarstva.</w:t>
      </w:r>
    </w:p>
    <w:p w14:paraId="3D3A9AA7" w14:textId="6DC95AE4" w:rsidR="00AE67BC" w:rsidRDefault="00B02E0C" w:rsidP="009E0190">
      <w:pPr>
        <w:pStyle w:val="Bezproreda"/>
      </w:pPr>
      <w:r>
        <w:lastRenderedPageBreak/>
        <w:t xml:space="preserve">Aktivnost održavanje i opremanje ustanova srednjeg školstva – </w:t>
      </w:r>
      <w:r w:rsidR="003B774B">
        <w:t xml:space="preserve">od ukupno </w:t>
      </w:r>
      <w:r w:rsidR="006F666F">
        <w:t>52.375,98€</w:t>
      </w:r>
      <w:r>
        <w:t xml:space="preserve"> u opremanje škole </w:t>
      </w:r>
      <w:r w:rsidR="003B774B">
        <w:t xml:space="preserve">osnivač je uložio 35.834,17€ od toga najviše na tekuće i investicijsko održavanje u iznosu od 27.313,24€ </w:t>
      </w:r>
      <w:r>
        <w:t>Uz osnivača održavanje i opremanje škole realizira se vlastitim sredstvima i donacijama</w:t>
      </w:r>
      <w:r w:rsidR="003B774B">
        <w:t xml:space="preserve"> te se nabavilo nešto novih računala, projektora, školskih klupa i stolica kao i opreme poput generatora i osciloskopa.</w:t>
      </w:r>
    </w:p>
    <w:p w14:paraId="7FBA2649" w14:textId="77777777" w:rsidR="003B774B" w:rsidRDefault="003B774B" w:rsidP="009E0190">
      <w:pPr>
        <w:pStyle w:val="Bezproreda"/>
      </w:pPr>
    </w:p>
    <w:p w14:paraId="0C4BBB35" w14:textId="77777777" w:rsidR="00AE67BC" w:rsidRDefault="00D22362" w:rsidP="009E0190">
      <w:pPr>
        <w:pStyle w:val="Bezproreda"/>
      </w:pPr>
      <w:r>
        <w:t>Redovna djelatnost financirana iz izvora 3</w:t>
      </w:r>
      <w:r w:rsidR="002E4D2A">
        <w:t>, druga razina 3.1 vlastiti prihodi</w:t>
      </w:r>
    </w:p>
    <w:p w14:paraId="50599F1E" w14:textId="77777777" w:rsidR="002E4D2A" w:rsidRDefault="002E4D2A" w:rsidP="009E0190">
      <w:pPr>
        <w:pStyle w:val="Bezproreda"/>
      </w:pPr>
      <w:r>
        <w:t>Iz vlastitih sredstava pokrivaju se rashodi poslovanja i rashodi za održavanje i opremanje škole.</w:t>
      </w:r>
    </w:p>
    <w:p w14:paraId="193A2AF3" w14:textId="3D7D0BB5" w:rsidR="002E4D2A" w:rsidRDefault="002E4D2A" w:rsidP="009E0190">
      <w:pPr>
        <w:pStyle w:val="Bezproreda"/>
      </w:pPr>
      <w:r>
        <w:t>Vlastita sredstva škola prikupi od zakupa školskog prostora</w:t>
      </w:r>
      <w:r w:rsidR="003B774B">
        <w:t>, obrazovanje odraslih (najčešće MORH, MUP i TVZ)</w:t>
      </w:r>
      <w:r>
        <w:t xml:space="preserve"> </w:t>
      </w:r>
      <w:r w:rsidR="003B774B">
        <w:t>i</w:t>
      </w:r>
      <w:r>
        <w:t xml:space="preserve"> CISCO akademij</w:t>
      </w:r>
      <w:r w:rsidR="003B774B">
        <w:t>e</w:t>
      </w:r>
      <w:r>
        <w:t>.</w:t>
      </w:r>
    </w:p>
    <w:p w14:paraId="678E7914" w14:textId="5EE44275" w:rsidR="00641B53" w:rsidRDefault="002E4D2A" w:rsidP="009E0190">
      <w:pPr>
        <w:pStyle w:val="Bezproreda"/>
      </w:pPr>
      <w:r>
        <w:t>Pokazat</w:t>
      </w:r>
      <w:r w:rsidR="00636E68">
        <w:t xml:space="preserve">elj rezultata </w:t>
      </w:r>
      <w:r>
        <w:t>kroz CISC</w:t>
      </w:r>
      <w:r w:rsidR="003B774B">
        <w:t>O</w:t>
      </w:r>
      <w:r>
        <w:t xml:space="preserve"> akade</w:t>
      </w:r>
      <w:r w:rsidR="00641B53">
        <w:t>mij</w:t>
      </w:r>
      <w:r w:rsidR="003B774B">
        <w:t>u</w:t>
      </w:r>
      <w:r w:rsidR="00636E68">
        <w:t>:</w:t>
      </w:r>
    </w:p>
    <w:p w14:paraId="5FC7D512" w14:textId="77777777" w:rsidR="00636E68" w:rsidRDefault="00AE67BC" w:rsidP="009E0190">
      <w:pPr>
        <w:pStyle w:val="Bezproreda"/>
      </w:pPr>
      <w:r>
        <w:tab/>
      </w:r>
    </w:p>
    <w:tbl>
      <w:tblPr>
        <w:tblStyle w:val="Reetkatablice"/>
        <w:tblW w:w="7338" w:type="dxa"/>
        <w:tblLayout w:type="fixed"/>
        <w:tblLook w:val="04A0" w:firstRow="1" w:lastRow="0" w:firstColumn="1" w:lastColumn="0" w:noHBand="0" w:noVBand="1"/>
      </w:tblPr>
      <w:tblGrid>
        <w:gridCol w:w="1809"/>
        <w:gridCol w:w="2717"/>
        <w:gridCol w:w="1280"/>
        <w:gridCol w:w="1532"/>
      </w:tblGrid>
      <w:tr w:rsidR="003B774B" w14:paraId="03231C59" w14:textId="77777777" w:rsidTr="003B774B">
        <w:tc>
          <w:tcPr>
            <w:tcW w:w="1809" w:type="dxa"/>
          </w:tcPr>
          <w:p w14:paraId="10460775" w14:textId="77777777" w:rsidR="003B774B" w:rsidRDefault="003B774B" w:rsidP="009F17DE">
            <w:pPr>
              <w:pStyle w:val="Bezproreda"/>
            </w:pPr>
            <w:r>
              <w:t>Pokazatelj rezultata</w:t>
            </w:r>
          </w:p>
        </w:tc>
        <w:tc>
          <w:tcPr>
            <w:tcW w:w="2717" w:type="dxa"/>
          </w:tcPr>
          <w:p w14:paraId="6998C6E7" w14:textId="77777777" w:rsidR="003B774B" w:rsidRDefault="003B774B" w:rsidP="009F17DE">
            <w:pPr>
              <w:pStyle w:val="Bezproreda"/>
            </w:pPr>
            <w:r>
              <w:t>Definicija pokazatelja</w:t>
            </w:r>
          </w:p>
        </w:tc>
        <w:tc>
          <w:tcPr>
            <w:tcW w:w="1280" w:type="dxa"/>
          </w:tcPr>
          <w:p w14:paraId="25137CFD" w14:textId="77777777" w:rsidR="003B774B" w:rsidRDefault="003B774B" w:rsidP="009F17DE">
            <w:pPr>
              <w:pStyle w:val="Bezproreda"/>
            </w:pPr>
            <w:r>
              <w:t>Jedinica mjere</w:t>
            </w:r>
          </w:p>
        </w:tc>
        <w:tc>
          <w:tcPr>
            <w:tcW w:w="1532" w:type="dxa"/>
          </w:tcPr>
          <w:p w14:paraId="77AEAD0E" w14:textId="77777777" w:rsidR="003B774B" w:rsidRDefault="003B774B" w:rsidP="009F17DE">
            <w:pPr>
              <w:pStyle w:val="Bezproreda"/>
            </w:pPr>
            <w:r>
              <w:t>Ciljana vrijednost</w:t>
            </w:r>
          </w:p>
        </w:tc>
      </w:tr>
      <w:tr w:rsidR="003B774B" w14:paraId="3BCD623E" w14:textId="77777777" w:rsidTr="003B774B">
        <w:tc>
          <w:tcPr>
            <w:tcW w:w="1809" w:type="dxa"/>
          </w:tcPr>
          <w:p w14:paraId="7503277E" w14:textId="77777777" w:rsidR="003B774B" w:rsidRDefault="003B774B" w:rsidP="00985AE2">
            <w:pPr>
              <w:pStyle w:val="Bezproreda"/>
            </w:pPr>
            <w:r>
              <w:t xml:space="preserve">Upis učenika u CISCO akademiju </w:t>
            </w:r>
            <w:proofErr w:type="spellStart"/>
            <w:r>
              <w:t>I.modul</w:t>
            </w:r>
            <w:proofErr w:type="spellEnd"/>
            <w:r>
              <w:t xml:space="preserve"> </w:t>
            </w:r>
          </w:p>
        </w:tc>
        <w:tc>
          <w:tcPr>
            <w:tcW w:w="2717" w:type="dxa"/>
          </w:tcPr>
          <w:p w14:paraId="150F1094" w14:textId="77777777" w:rsidR="003B774B" w:rsidRDefault="003B774B" w:rsidP="009F17DE">
            <w:pPr>
              <w:pStyle w:val="Bezproreda"/>
            </w:pPr>
            <w:r>
              <w:t>Učenike se potiče na upis u Cisco akademiju radi lakšeg zapošljavanja na kraju školovanja</w:t>
            </w:r>
          </w:p>
        </w:tc>
        <w:tc>
          <w:tcPr>
            <w:tcW w:w="1280" w:type="dxa"/>
          </w:tcPr>
          <w:p w14:paraId="7DFBB549" w14:textId="77777777" w:rsidR="003B774B" w:rsidRDefault="003B774B" w:rsidP="009F17DE">
            <w:pPr>
              <w:pStyle w:val="Bezproreda"/>
            </w:pPr>
            <w:r>
              <w:t xml:space="preserve">Broj polaznika akademije </w:t>
            </w:r>
            <w:proofErr w:type="spellStart"/>
            <w:r>
              <w:t>I.modul</w:t>
            </w:r>
            <w:proofErr w:type="spellEnd"/>
          </w:p>
        </w:tc>
        <w:tc>
          <w:tcPr>
            <w:tcW w:w="1532" w:type="dxa"/>
          </w:tcPr>
          <w:p w14:paraId="3C66A236" w14:textId="10050BEA" w:rsidR="003B774B" w:rsidRDefault="003B774B" w:rsidP="009F17DE">
            <w:pPr>
              <w:pStyle w:val="Bezproreda"/>
            </w:pPr>
            <w:r>
              <w:t>59</w:t>
            </w:r>
          </w:p>
        </w:tc>
      </w:tr>
    </w:tbl>
    <w:p w14:paraId="513EB05A" w14:textId="77777777" w:rsidR="00261CEE" w:rsidRDefault="00AE67BC" w:rsidP="009E019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003FA3" w14:textId="77777777" w:rsidR="00AE67BC" w:rsidRDefault="00AE67BC" w:rsidP="009E019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E0C">
        <w:tab/>
      </w:r>
      <w:r w:rsidR="00B02E0C">
        <w:tab/>
      </w:r>
      <w:r w:rsidR="00B02E0C">
        <w:tab/>
      </w:r>
      <w:r w:rsidR="00B02E0C">
        <w:tab/>
      </w:r>
      <w:r w:rsidR="00B02E0C">
        <w:tab/>
      </w:r>
      <w:r w:rsidR="00B02E0C">
        <w:tab/>
      </w:r>
      <w:r w:rsidR="00B02E0C">
        <w:tab/>
      </w:r>
      <w:r w:rsidR="00B02E0C">
        <w:tab/>
        <w:t>Ravnatelj:</w:t>
      </w:r>
    </w:p>
    <w:p w14:paraId="3D965357" w14:textId="77777777" w:rsidR="00B02E0C" w:rsidRDefault="00B02E0C" w:rsidP="009E019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Renato Matejaš, prof.</w:t>
      </w:r>
    </w:p>
    <w:sectPr w:rsidR="00B02E0C" w:rsidSect="00AE6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54EB" w14:textId="77777777" w:rsidR="007562D2" w:rsidRDefault="007562D2" w:rsidP="00993F89">
      <w:pPr>
        <w:spacing w:after="0" w:line="240" w:lineRule="auto"/>
      </w:pPr>
      <w:r>
        <w:separator/>
      </w:r>
    </w:p>
  </w:endnote>
  <w:endnote w:type="continuationSeparator" w:id="0">
    <w:p w14:paraId="69354991" w14:textId="77777777" w:rsidR="007562D2" w:rsidRDefault="007562D2" w:rsidP="009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CE3D" w14:textId="77777777" w:rsidR="007562D2" w:rsidRDefault="007562D2" w:rsidP="00993F89">
      <w:pPr>
        <w:spacing w:after="0" w:line="240" w:lineRule="auto"/>
      </w:pPr>
      <w:r>
        <w:separator/>
      </w:r>
    </w:p>
  </w:footnote>
  <w:footnote w:type="continuationSeparator" w:id="0">
    <w:p w14:paraId="3E3A25A3" w14:textId="77777777" w:rsidR="007562D2" w:rsidRDefault="007562D2" w:rsidP="009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3AA"/>
    <w:multiLevelType w:val="hybridMultilevel"/>
    <w:tmpl w:val="11044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60FF5"/>
    <w:multiLevelType w:val="hybridMultilevel"/>
    <w:tmpl w:val="B2F4C920"/>
    <w:lvl w:ilvl="0" w:tplc="B60469D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64736E3"/>
    <w:multiLevelType w:val="hybridMultilevel"/>
    <w:tmpl w:val="E6E45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3F66"/>
    <w:multiLevelType w:val="hybridMultilevel"/>
    <w:tmpl w:val="2B90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47B5"/>
    <w:multiLevelType w:val="hybridMultilevel"/>
    <w:tmpl w:val="31B41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1237"/>
    <w:multiLevelType w:val="hybridMultilevel"/>
    <w:tmpl w:val="687E4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7C"/>
    <w:rsid w:val="00042F39"/>
    <w:rsid w:val="000858C2"/>
    <w:rsid w:val="00102FA0"/>
    <w:rsid w:val="0011765C"/>
    <w:rsid w:val="00123F0E"/>
    <w:rsid w:val="001415C8"/>
    <w:rsid w:val="0014499C"/>
    <w:rsid w:val="0016548A"/>
    <w:rsid w:val="001D19F6"/>
    <w:rsid w:val="00217367"/>
    <w:rsid w:val="00222D59"/>
    <w:rsid w:val="002362B7"/>
    <w:rsid w:val="00261CEE"/>
    <w:rsid w:val="00267B43"/>
    <w:rsid w:val="002E4D2A"/>
    <w:rsid w:val="00300106"/>
    <w:rsid w:val="00303270"/>
    <w:rsid w:val="00310E02"/>
    <w:rsid w:val="0032681C"/>
    <w:rsid w:val="00345C46"/>
    <w:rsid w:val="003578FD"/>
    <w:rsid w:val="00362254"/>
    <w:rsid w:val="003972EC"/>
    <w:rsid w:val="003A0E1E"/>
    <w:rsid w:val="003B774B"/>
    <w:rsid w:val="0041360B"/>
    <w:rsid w:val="004172D4"/>
    <w:rsid w:val="00422F03"/>
    <w:rsid w:val="00442A50"/>
    <w:rsid w:val="00461720"/>
    <w:rsid w:val="004A1746"/>
    <w:rsid w:val="004A7568"/>
    <w:rsid w:val="004F650C"/>
    <w:rsid w:val="005564BA"/>
    <w:rsid w:val="005C1794"/>
    <w:rsid w:val="005F4E63"/>
    <w:rsid w:val="00613013"/>
    <w:rsid w:val="006318DD"/>
    <w:rsid w:val="00636E68"/>
    <w:rsid w:val="00641B53"/>
    <w:rsid w:val="00655D3F"/>
    <w:rsid w:val="006572A9"/>
    <w:rsid w:val="006E06C3"/>
    <w:rsid w:val="006F666F"/>
    <w:rsid w:val="007562D2"/>
    <w:rsid w:val="00757556"/>
    <w:rsid w:val="00791356"/>
    <w:rsid w:val="007B2524"/>
    <w:rsid w:val="007D5C15"/>
    <w:rsid w:val="00801B0F"/>
    <w:rsid w:val="00834F9F"/>
    <w:rsid w:val="00892F33"/>
    <w:rsid w:val="00894D91"/>
    <w:rsid w:val="008E59C6"/>
    <w:rsid w:val="00912709"/>
    <w:rsid w:val="00916686"/>
    <w:rsid w:val="00936F7C"/>
    <w:rsid w:val="0094398B"/>
    <w:rsid w:val="00951BA9"/>
    <w:rsid w:val="0096482B"/>
    <w:rsid w:val="00985AE2"/>
    <w:rsid w:val="00993F89"/>
    <w:rsid w:val="009D203B"/>
    <w:rsid w:val="009E0190"/>
    <w:rsid w:val="009E06DB"/>
    <w:rsid w:val="009E3CEB"/>
    <w:rsid w:val="00A468E7"/>
    <w:rsid w:val="00A90575"/>
    <w:rsid w:val="00AC1C69"/>
    <w:rsid w:val="00AC7D42"/>
    <w:rsid w:val="00AD0EC3"/>
    <w:rsid w:val="00AD65EB"/>
    <w:rsid w:val="00AE0055"/>
    <w:rsid w:val="00AE60D1"/>
    <w:rsid w:val="00AE67BC"/>
    <w:rsid w:val="00B02E0C"/>
    <w:rsid w:val="00B37A94"/>
    <w:rsid w:val="00B6052C"/>
    <w:rsid w:val="00B71C77"/>
    <w:rsid w:val="00BC04C9"/>
    <w:rsid w:val="00BF7C41"/>
    <w:rsid w:val="00C31046"/>
    <w:rsid w:val="00C41292"/>
    <w:rsid w:val="00C54819"/>
    <w:rsid w:val="00C93ECB"/>
    <w:rsid w:val="00CC4AF5"/>
    <w:rsid w:val="00CD5804"/>
    <w:rsid w:val="00CF54D3"/>
    <w:rsid w:val="00CF619B"/>
    <w:rsid w:val="00D065CA"/>
    <w:rsid w:val="00D13C3B"/>
    <w:rsid w:val="00D22362"/>
    <w:rsid w:val="00D35025"/>
    <w:rsid w:val="00D5128B"/>
    <w:rsid w:val="00D5156F"/>
    <w:rsid w:val="00DA0447"/>
    <w:rsid w:val="00DA103E"/>
    <w:rsid w:val="00DA5890"/>
    <w:rsid w:val="00DE215E"/>
    <w:rsid w:val="00E703CA"/>
    <w:rsid w:val="00E754B3"/>
    <w:rsid w:val="00EB3346"/>
    <w:rsid w:val="00EC2FB3"/>
    <w:rsid w:val="00ED463E"/>
    <w:rsid w:val="00EF08CE"/>
    <w:rsid w:val="00FA770E"/>
    <w:rsid w:val="00FB14F6"/>
    <w:rsid w:val="00FB47BB"/>
    <w:rsid w:val="00FC1082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7C09"/>
  <w15:docId w15:val="{0F36636A-E2C7-4F14-9D53-ED93866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103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C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D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9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F89"/>
  </w:style>
  <w:style w:type="paragraph" w:styleId="Podnoje">
    <w:name w:val="footer"/>
    <w:basedOn w:val="Normal"/>
    <w:link w:val="PodnojeChar"/>
    <w:uiPriority w:val="99"/>
    <w:unhideWhenUsed/>
    <w:rsid w:val="0099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0FD6-6DF8-4DDB-9C2F-CDEA00E2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Dijana_W7</dc:creator>
  <cp:lastModifiedBy>Dijana</cp:lastModifiedBy>
  <cp:revision>8</cp:revision>
  <cp:lastPrinted>2025-03-27T08:35:00Z</cp:lastPrinted>
  <dcterms:created xsi:type="dcterms:W3CDTF">2024-03-15T10:32:00Z</dcterms:created>
  <dcterms:modified xsi:type="dcterms:W3CDTF">2025-03-27T08:35:00Z</dcterms:modified>
</cp:coreProperties>
</file>